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8D0C"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273AF17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The present document has been produced and approved by the &lt;long ISGname&gt; (&lt;short ISGname&gt;) ETSI Industry Specification Group (ISG) and represents the views of those members who participated in this ISG.</w:t>
      </w:r>
      <w:r w:rsidRPr="00FF512E">
        <w:rPr>
          <w:sz w:val="18"/>
          <w:szCs w:val="18"/>
        </w:rPr>
        <w:br/>
        <w:t>It does not necessarily represent the views of the entire ETSI membership.</w:t>
      </w:r>
    </w:p>
    <w:p w14:paraId="1B4ED9B9" w14:textId="207D7985"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 xml:space="preserve">ETSI GR </w:t>
      </w:r>
      <w:bookmarkStart w:id="3" w:name="docnumber"/>
      <w:r w:rsidRPr="00FF512E">
        <w:rPr>
          <w:rFonts w:ascii="Times New Roman" w:hAnsi="Times New Roman"/>
          <w:noProof w:val="0"/>
          <w:sz w:val="62"/>
          <w:szCs w:val="62"/>
          <w:lang w:val="sv-SE"/>
        </w:rPr>
        <w:t>ISG-</w:t>
      </w:r>
      <w:bookmarkEnd w:id="3"/>
      <w:r w:rsidRPr="00FF512E">
        <w:rPr>
          <w:rFonts w:ascii="Times New Roman" w:hAnsi="Times New Roman"/>
          <w:noProof w:val="0"/>
          <w:sz w:val="62"/>
          <w:szCs w:val="62"/>
          <w:lang w:val="sv-SE"/>
        </w:rPr>
        <w:t>PDL 006</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521AA0">
        <w:rPr>
          <w:rFonts w:ascii="Times New Roman" w:hAnsi="Times New Roman"/>
          <w:noProof w:val="0"/>
          <w:color w:val="000000" w:themeColor="text1"/>
          <w:highlight w:val="yellow"/>
          <w:lang w:val="sv-SE"/>
        </w:rPr>
        <w:t>v.0.</w:t>
      </w:r>
      <w:r w:rsidR="00AA362F" w:rsidRPr="00521AA0">
        <w:rPr>
          <w:rFonts w:ascii="Times New Roman" w:hAnsi="Times New Roman"/>
          <w:noProof w:val="0"/>
          <w:color w:val="000000" w:themeColor="text1"/>
          <w:highlight w:val="yellow"/>
          <w:lang w:val="sv-SE"/>
        </w:rPr>
        <w:t>1</w:t>
      </w:r>
      <w:r w:rsidRPr="00521AA0">
        <w:rPr>
          <w:rFonts w:ascii="Times New Roman" w:hAnsi="Times New Roman"/>
          <w:noProof w:val="0"/>
          <w:color w:val="000000" w:themeColor="text1"/>
          <w:highlight w:val="yellow"/>
          <w:lang w:val="sv-SE"/>
        </w:rPr>
        <w:t>.</w:t>
      </w:r>
      <w:r w:rsidR="00007161">
        <w:rPr>
          <w:rFonts w:ascii="Times New Roman" w:hAnsi="Times New Roman"/>
          <w:noProof w:val="0"/>
          <w:color w:val="000000" w:themeColor="text1"/>
          <w:highlight w:val="yellow"/>
          <w:lang w:val="sv-SE"/>
        </w:rPr>
        <w:t>2</w:t>
      </w:r>
      <w:r w:rsidRPr="00521AA0">
        <w:rPr>
          <w:rFonts w:ascii="Times New Roman" w:hAnsi="Times New Roman"/>
          <w:noProof w:val="0"/>
          <w:color w:val="000000" w:themeColor="text1"/>
          <w:highlight w:val="yellow"/>
          <w:lang w:val="sv-SE"/>
        </w:rPr>
        <w:t xml:space="preserve"> </w:t>
      </w:r>
      <w:r w:rsidRPr="00521AA0">
        <w:rPr>
          <w:rFonts w:ascii="Times New Roman" w:hAnsi="Times New Roman"/>
          <w:noProof w:val="0"/>
          <w:color w:val="000000" w:themeColor="text1"/>
          <w:sz w:val="32"/>
          <w:highlight w:val="yellow"/>
          <w:lang w:val="sv-SE"/>
        </w:rPr>
        <w:t>(202</w:t>
      </w:r>
      <w:r w:rsidR="004D4C57">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highlight w:val="yellow"/>
          <w:lang w:val="sv-SE"/>
        </w:rPr>
        <w:t>-</w:t>
      </w:r>
      <w:r w:rsidR="00007161">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szCs w:val="32"/>
          <w:highlight w:val="yellow"/>
          <w:lang w:val="sv-SE"/>
        </w:rPr>
        <w:t>)</w:t>
      </w:r>
    </w:p>
    <w:p w14:paraId="3B03401C"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r w:rsidRPr="00095598">
        <w:rPr>
          <w:rFonts w:ascii="Times New Roman" w:hAnsi="Times New Roman"/>
          <w:noProof w:val="0"/>
          <w:color w:val="000000" w:themeColor="text1"/>
          <w:sz w:val="20"/>
          <w:lang w:val="sv-SE"/>
        </w:rPr>
        <w:t>eorganizational proposal</w:t>
      </w:r>
    </w:p>
    <w:p w14:paraId="06BF4AF7" w14:textId="77777777" w:rsidR="00FF512E" w:rsidRPr="00FF512E" w:rsidRDefault="00FF512E" w:rsidP="00FF512E">
      <w:pPr>
        <w:jc w:val="both"/>
        <w:rPr>
          <w:lang w:val="sv-SE"/>
        </w:rPr>
      </w:pPr>
    </w:p>
    <w:p w14:paraId="73ABA292"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1A88A7C3" w14:textId="77777777" w:rsidR="00FF512E" w:rsidRPr="00FF512E" w:rsidRDefault="00FF512E" w:rsidP="00FF512E">
      <w:pPr>
        <w:pStyle w:val="ZT"/>
        <w:framePr w:w="10401" w:h="4821" w:hRule="exact" w:wrap="notBeside" w:hAnchor="page" w:x="880" w:y="7094"/>
        <w:jc w:val="both"/>
        <w:rPr>
          <w:rFonts w:ascii="Times New Roman" w:hAnsi="Times New Roman"/>
        </w:rPr>
      </w:pPr>
      <w:bookmarkStart w:id="4" w:name="doctitle"/>
      <w:r w:rsidRPr="00FF512E">
        <w:rPr>
          <w:rFonts w:ascii="Times New Roman" w:hAnsi="Times New Roman"/>
        </w:rPr>
        <w:t>PDL INTER-LEDGER INTEROPERABILITY</w:t>
      </w:r>
    </w:p>
    <w:bookmarkEnd w:id="4"/>
    <w:p w14:paraId="0798ACE6" w14:textId="77777777" w:rsidR="00FF512E" w:rsidRPr="00FF512E" w:rsidRDefault="00FF512E" w:rsidP="00095598">
      <w:pPr>
        <w:pStyle w:val="ZT"/>
        <w:framePr w:w="10401" w:h="4821" w:hRule="exact" w:wrap="notBeside" w:hAnchor="page" w:x="880" w:y="7094"/>
        <w:jc w:val="both"/>
        <w:rPr>
          <w:rStyle w:val="ZGSM"/>
          <w:rFonts w:ascii="Times New Roman" w:hAnsi="Times New Roman"/>
        </w:rPr>
      </w:pPr>
    </w:p>
    <w:p w14:paraId="072DAADB"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lang w:val="en-US"/>
        </w:rPr>
        <w:drawing>
          <wp:inline distT="0" distB="0" distL="0" distR="0" wp14:anchorId="3454F04A" wp14:editId="399314BC">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7E0048FB"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5"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BFCB29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85BB9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1D8CC1F"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051BAB8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118F89CC"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lang w:val="en-US" w:eastAsia="en-US"/>
        </w:rPr>
        <w:drawing>
          <wp:inline distT="0" distB="0" distL="0" distR="0" wp14:anchorId="5A8F3F92" wp14:editId="4486A49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or the skeleton without guidance text also available via the editHelp! website should be used.</w:t>
      </w:r>
    </w:p>
    <w:bookmarkStart w:id="6" w:name="docdiskette"/>
    <w:p w14:paraId="4AA61C58" w14:textId="77777777" w:rsidR="00FF512E" w:rsidRPr="00FF512E" w:rsidRDefault="004A4E6D" w:rsidP="00FF512E">
      <w:pPr>
        <w:pStyle w:val="ZD"/>
        <w:framePr w:wrap="notBeside"/>
        <w:jc w:val="both"/>
        <w:rPr>
          <w:rFonts w:ascii="Times New Roman" w:hAnsi="Times New Roman"/>
          <w:noProof w:val="0"/>
        </w:rPr>
      </w:pPr>
      <w:r w:rsidRPr="00FF512E">
        <w:rPr>
          <w:rFonts w:ascii="Times New Roman" w:hAnsi="Times New Roman"/>
        </w:rPr>
        <w:fldChar w:fldCharType="begin"/>
      </w:r>
      <w:r w:rsidR="00FF512E" w:rsidRPr="00FF512E">
        <w:rPr>
          <w:rFonts w:ascii="Times New Roman" w:hAnsi="Times New Roman"/>
          <w:noProof w:val="0"/>
        </w:rPr>
        <w:instrText>symbol 60 \f "Wingdings" \s 16</w:instrText>
      </w:r>
      <w:r w:rsidRPr="00FF512E">
        <w:rPr>
          <w:rFonts w:ascii="Times New Roman" w:hAnsi="Times New Roman"/>
        </w:rPr>
        <w:fldChar w:fldCharType="separate"/>
      </w:r>
      <w:r w:rsidR="00FF512E" w:rsidRPr="00FF512E">
        <w:rPr>
          <w:rFonts w:ascii="Times New Roman" w:hAnsi="Times New Roman"/>
          <w:noProof w:val="0"/>
        </w:rPr>
        <w:t>&lt;</w:t>
      </w:r>
      <w:r w:rsidRPr="00FF512E">
        <w:rPr>
          <w:rFonts w:ascii="Times New Roman" w:hAnsi="Times New Roman"/>
        </w:rPr>
        <w:fldChar w:fldCharType="end"/>
      </w:r>
      <w:bookmarkEnd w:id="6"/>
    </w:p>
    <w:p w14:paraId="619A2F83"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5"/>
    <w:p w14:paraId="731DA2BB" w14:textId="77777777" w:rsidR="00FF512E" w:rsidRPr="00FF512E" w:rsidRDefault="00FF512E" w:rsidP="00FF512E">
      <w:pPr>
        <w:jc w:val="both"/>
        <w:rPr>
          <w:sz w:val="18"/>
          <w:szCs w:val="18"/>
        </w:rPr>
        <w:sectPr w:rsidR="00FF512E" w:rsidRPr="00FF512E" w:rsidSect="004550B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2F8E096" w14:textId="77777777" w:rsidR="00FF512E" w:rsidRPr="00FF512E" w:rsidRDefault="00FF512E" w:rsidP="00FF512E">
      <w:pPr>
        <w:pStyle w:val="FP"/>
        <w:framePr w:wrap="notBeside" w:vAnchor="page" w:hAnchor="page" w:x="1141" w:y="2836"/>
        <w:pBdr>
          <w:bottom w:val="single" w:sz="6" w:space="1" w:color="auto"/>
        </w:pBdr>
        <w:ind w:left="2835" w:right="2835"/>
        <w:jc w:val="both"/>
      </w:pPr>
      <w:bookmarkStart w:id="7" w:name="page2"/>
      <w:r w:rsidRPr="00FF512E">
        <w:lastRenderedPageBreak/>
        <w:t>Reference</w:t>
      </w:r>
    </w:p>
    <w:p w14:paraId="30CCAFB0" w14:textId="77777777" w:rsidR="00FF512E" w:rsidRPr="00FF512E" w:rsidRDefault="00FF512E" w:rsidP="00FF512E">
      <w:pPr>
        <w:pStyle w:val="FP"/>
        <w:framePr w:wrap="notBeside" w:vAnchor="page" w:hAnchor="page" w:x="1141" w:y="2836"/>
        <w:ind w:left="2268" w:right="2268"/>
        <w:jc w:val="both"/>
        <w:rPr>
          <w:sz w:val="18"/>
        </w:rPr>
      </w:pPr>
      <w:bookmarkStart w:id="8" w:name="docworkitem"/>
      <w:r w:rsidRPr="00FF512E">
        <w:t>PDL-</w:t>
      </w:r>
      <w:bookmarkEnd w:id="8"/>
      <w:r w:rsidRPr="00FF512E">
        <w:t>006 INTER-LEDGER INTEROPERABILITY</w:t>
      </w:r>
    </w:p>
    <w:p w14:paraId="377CBA92" w14:textId="77777777" w:rsidR="00FF512E" w:rsidRPr="00FF512E" w:rsidRDefault="00FF512E" w:rsidP="00FF512E">
      <w:pPr>
        <w:pStyle w:val="FP"/>
        <w:framePr w:wrap="notBeside" w:vAnchor="page" w:hAnchor="page" w:x="1141" w:y="2836"/>
        <w:pBdr>
          <w:bottom w:val="single" w:sz="6" w:space="1" w:color="auto"/>
        </w:pBdr>
        <w:spacing w:before="240"/>
        <w:ind w:left="2835" w:right="2835"/>
        <w:jc w:val="both"/>
      </w:pPr>
      <w:r w:rsidRPr="00FF512E">
        <w:t>Keywords</w:t>
      </w:r>
    </w:p>
    <w:p w14:paraId="470E3F64" w14:textId="77777777" w:rsidR="00FF512E" w:rsidRPr="00FF512E" w:rsidRDefault="00FF512E" w:rsidP="00FF512E">
      <w:pPr>
        <w:pStyle w:val="FP"/>
        <w:framePr w:wrap="notBeside" w:vAnchor="page" w:hAnchor="page" w:x="1141" w:y="2836"/>
        <w:ind w:left="2835" w:right="2835"/>
        <w:jc w:val="both"/>
        <w:rPr>
          <w:sz w:val="18"/>
        </w:rPr>
      </w:pPr>
      <w:r w:rsidRPr="00FF512E">
        <w:rPr>
          <w:sz w:val="18"/>
        </w:rPr>
        <w:t>Security, Conformity, Trust, Interoperability</w:t>
      </w:r>
    </w:p>
    <w:p w14:paraId="08A2BCB1" w14:textId="77777777" w:rsidR="00FF512E" w:rsidRPr="00FF512E" w:rsidRDefault="00FF512E" w:rsidP="00FF512E">
      <w:pPr>
        <w:jc w:val="both"/>
        <w:rPr>
          <w:lang w:val="en-US"/>
        </w:rPr>
      </w:pPr>
    </w:p>
    <w:p w14:paraId="662D9236" w14:textId="77777777" w:rsidR="00FF512E" w:rsidRPr="00FF512E" w:rsidRDefault="00FF512E" w:rsidP="00FF512E">
      <w:pPr>
        <w:pStyle w:val="FP"/>
        <w:framePr w:wrap="notBeside" w:vAnchor="page" w:hAnchor="page" w:x="1156" w:y="5581"/>
        <w:spacing w:after="240"/>
        <w:ind w:left="2835" w:right="2835"/>
        <w:jc w:val="both"/>
        <w:rPr>
          <w:b/>
          <w:i/>
        </w:rPr>
      </w:pPr>
      <w:bookmarkStart w:id="9" w:name="ETSIinfo"/>
      <w:r w:rsidRPr="00FF512E">
        <w:rPr>
          <w:b/>
          <w:i/>
        </w:rPr>
        <w:t>ETSI</w:t>
      </w:r>
    </w:p>
    <w:p w14:paraId="7D4F1F7E"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650 Route des Lucioles</w:t>
      </w:r>
    </w:p>
    <w:p w14:paraId="5F782AF8"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20155239" w14:textId="77777777" w:rsidR="00FF512E" w:rsidRPr="00FF512E" w:rsidRDefault="00FF512E" w:rsidP="00FF512E">
      <w:pPr>
        <w:pStyle w:val="FP"/>
        <w:framePr w:wrap="notBeside" w:vAnchor="page" w:hAnchor="page" w:x="1156" w:y="5581"/>
        <w:ind w:left="2835" w:right="2835"/>
        <w:jc w:val="both"/>
        <w:rPr>
          <w:sz w:val="18"/>
        </w:rPr>
      </w:pPr>
    </w:p>
    <w:p w14:paraId="6D001E49"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3896BE99" w14:textId="77777777" w:rsidR="00FF512E" w:rsidRPr="00FF512E" w:rsidRDefault="00FF512E" w:rsidP="00FF512E">
      <w:pPr>
        <w:pStyle w:val="FP"/>
        <w:framePr w:wrap="notBeside" w:vAnchor="page" w:hAnchor="page" w:x="1156" w:y="5581"/>
        <w:ind w:left="2835" w:right="2835"/>
        <w:jc w:val="both"/>
        <w:rPr>
          <w:sz w:val="15"/>
        </w:rPr>
      </w:pPr>
    </w:p>
    <w:p w14:paraId="0A1AB29A"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3D42683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37A47DD0"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3C7B761F" w14:textId="77777777" w:rsidR="00FF512E" w:rsidRPr="00FF512E" w:rsidRDefault="00FF512E" w:rsidP="00FF512E">
      <w:pPr>
        <w:pStyle w:val="FP"/>
        <w:framePr w:wrap="notBeside" w:vAnchor="page" w:hAnchor="page" w:x="1156" w:y="5581"/>
        <w:ind w:left="2835" w:right="2835"/>
        <w:jc w:val="both"/>
        <w:rPr>
          <w:sz w:val="18"/>
          <w:lang w:val="fr-FR"/>
        </w:rPr>
      </w:pPr>
    </w:p>
    <w:bookmarkEnd w:id="9"/>
    <w:p w14:paraId="676F49C4" w14:textId="77777777" w:rsidR="00FF512E" w:rsidRPr="00FF512E" w:rsidRDefault="00FF512E" w:rsidP="00FF512E">
      <w:pPr>
        <w:jc w:val="both"/>
        <w:rPr>
          <w:lang w:val="fr-FR"/>
        </w:rPr>
      </w:pPr>
    </w:p>
    <w:bookmarkEnd w:id="7"/>
    <w:p w14:paraId="336DE17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19702080"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1" w:anchor="Pre-defined Collections" w:history="1">
        <w:r w:rsidRPr="00FF512E">
          <w:rPr>
            <w:rStyle w:val="Hipervnculo"/>
            <w:sz w:val="18"/>
          </w:rPr>
          <w:t>http://www.etsi.org/standards-search</w:t>
        </w:r>
      </w:hyperlink>
    </w:p>
    <w:p w14:paraId="7D9B88CA"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52DBB9B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F512E">
          <w:rPr>
            <w:rStyle w:val="Hipervnculo"/>
            <w:sz w:val="18"/>
            <w:szCs w:val="18"/>
          </w:rPr>
          <w:t>https://portal.etsi.org/TB/ETSIDeliverableStatus.aspx</w:t>
        </w:r>
      </w:hyperlink>
    </w:p>
    <w:p w14:paraId="5270D04A"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10" w:name="mailto"/>
      <w:r w:rsidR="004A4E6D" w:rsidRPr="00FF512E">
        <w:rPr>
          <w:sz w:val="18"/>
          <w:szCs w:val="18"/>
        </w:rPr>
        <w:fldChar w:fldCharType="begin"/>
      </w:r>
      <w:r w:rsidRPr="00FF512E">
        <w:rPr>
          <w:sz w:val="18"/>
          <w:szCs w:val="18"/>
        </w:rPr>
        <w:instrText>HYPERLINK "https://portal.etsi.org/People/CommiteeSupportStaff.aspx"</w:instrText>
      </w:r>
      <w:r w:rsidR="004A4E6D" w:rsidRPr="00FF512E">
        <w:rPr>
          <w:sz w:val="18"/>
          <w:szCs w:val="18"/>
        </w:rPr>
        <w:fldChar w:fldCharType="separate"/>
      </w:r>
      <w:r w:rsidRPr="00FF512E">
        <w:rPr>
          <w:rStyle w:val="Hipervnculo"/>
          <w:sz w:val="18"/>
          <w:szCs w:val="18"/>
        </w:rPr>
        <w:t>https://portal.etsi.org/People/CommiteeSupportStaff.aspx</w:t>
      </w:r>
      <w:r w:rsidR="004A4E6D" w:rsidRPr="00FF512E">
        <w:rPr>
          <w:sz w:val="18"/>
          <w:szCs w:val="18"/>
        </w:rPr>
        <w:fldChar w:fldCharType="end"/>
      </w:r>
      <w:bookmarkEnd w:id="10"/>
      <w:r w:rsidRPr="00FF512E">
        <w:rPr>
          <w:sz w:val="18"/>
        </w:rPr>
        <w:t xml:space="preserve"> </w:t>
      </w:r>
    </w:p>
    <w:p w14:paraId="4CF377CE"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3347FA45"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6B58FA23"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4F80FF15"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22C6B7E6" w14:textId="77777777" w:rsidR="00FF512E" w:rsidRPr="00FF512E" w:rsidRDefault="00FF512E" w:rsidP="00FF512E">
      <w:pPr>
        <w:pStyle w:val="FP"/>
        <w:framePr w:h="7435" w:hRule="exact" w:wrap="notBeside" w:vAnchor="page" w:hAnchor="page" w:x="1036" w:y="8926"/>
        <w:jc w:val="both"/>
        <w:rPr>
          <w:sz w:val="18"/>
        </w:rPr>
      </w:pPr>
    </w:p>
    <w:p w14:paraId="3C89C247" w14:textId="77777777" w:rsidR="00FF512E" w:rsidRPr="00FF512E" w:rsidRDefault="00FF512E" w:rsidP="00FF512E">
      <w:pPr>
        <w:pStyle w:val="FP"/>
        <w:framePr w:h="7435" w:hRule="exact" w:wrap="notBeside" w:vAnchor="page" w:hAnchor="page" w:x="1036" w:y="8926"/>
        <w:jc w:val="both"/>
        <w:rPr>
          <w:sz w:val="18"/>
        </w:rPr>
      </w:pPr>
      <w:r w:rsidRPr="00FF512E">
        <w:rPr>
          <w:sz w:val="18"/>
        </w:rPr>
        <w:t>© ETSI 2019.</w:t>
      </w:r>
      <w:bookmarkStart w:id="11" w:name="copyrightaddon"/>
      <w:bookmarkEnd w:id="11"/>
    </w:p>
    <w:p w14:paraId="0BEF01D3" w14:textId="77777777" w:rsidR="00FF512E" w:rsidRPr="00FF512E" w:rsidRDefault="00FF512E" w:rsidP="00FF512E">
      <w:pPr>
        <w:pStyle w:val="FP"/>
        <w:framePr w:h="7435" w:hRule="exact" w:wrap="notBeside" w:vAnchor="page" w:hAnchor="page" w:x="1036" w:y="8926"/>
        <w:jc w:val="both"/>
        <w:rPr>
          <w:sz w:val="18"/>
        </w:rPr>
      </w:pPr>
      <w:bookmarkStart w:id="12" w:name="tbcopyright"/>
      <w:bookmarkEnd w:id="12"/>
      <w:r w:rsidRPr="00FF512E">
        <w:rPr>
          <w:sz w:val="18"/>
        </w:rPr>
        <w:t>All rights reserved.</w:t>
      </w:r>
      <w:r w:rsidRPr="00FF512E">
        <w:rPr>
          <w:sz w:val="18"/>
        </w:rPr>
        <w:br/>
      </w:r>
    </w:p>
    <w:p w14:paraId="6B25C1EF"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Members.</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28DD634" w14:textId="77777777" w:rsidR="00FF512E" w:rsidRPr="00FF512E" w:rsidRDefault="00FF512E" w:rsidP="00FF512E">
      <w:pPr>
        <w:jc w:val="both"/>
        <w:rPr>
          <w:lang w:val="en-US"/>
        </w:rPr>
      </w:pPr>
      <w:r w:rsidRPr="00FF512E">
        <w:rPr>
          <w:lang w:val="en-US"/>
        </w:rPr>
        <w:br w:type="page"/>
      </w:r>
    </w:p>
    <w:p w14:paraId="365F3D6B"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7EC3F202" w14:textId="77777777" w:rsidR="00FF512E" w:rsidRPr="00FF512E" w:rsidRDefault="00FF512E" w:rsidP="00FF512E">
      <w:pPr>
        <w:pStyle w:val="FP"/>
        <w:jc w:val="both"/>
        <w:rPr>
          <w:sz w:val="18"/>
          <w:szCs w:val="18"/>
        </w:rPr>
      </w:pPr>
    </w:p>
    <w:p w14:paraId="3E282326" w14:textId="77777777" w:rsidR="00FF512E" w:rsidRPr="00FF512E" w:rsidRDefault="00FF512E" w:rsidP="00FF512E">
      <w:pPr>
        <w:pStyle w:val="FP"/>
        <w:jc w:val="both"/>
        <w:rPr>
          <w:sz w:val="18"/>
        </w:rPr>
      </w:pPr>
      <w:r w:rsidRPr="00FF512E">
        <w:rPr>
          <w:sz w:val="18"/>
        </w:rPr>
        <w:t>© European Broadcasting Union yyyy.</w:t>
      </w:r>
    </w:p>
    <w:p w14:paraId="24D93C5A" w14:textId="77777777" w:rsidR="00FF512E" w:rsidRPr="00FF512E" w:rsidRDefault="00FF512E" w:rsidP="00FF512E">
      <w:pPr>
        <w:pStyle w:val="FP"/>
        <w:jc w:val="both"/>
        <w:rPr>
          <w:sz w:val="18"/>
          <w:szCs w:val="18"/>
        </w:rPr>
      </w:pPr>
      <w:r w:rsidRPr="00FF512E">
        <w:rPr>
          <w:sz w:val="18"/>
          <w:szCs w:val="18"/>
        </w:rPr>
        <w:t>© Comité Européen de Normalisation Electrotechnique yyyy.</w:t>
      </w:r>
    </w:p>
    <w:p w14:paraId="3CED107A" w14:textId="77777777" w:rsidR="00FF512E" w:rsidRPr="00FF512E" w:rsidRDefault="00FF512E" w:rsidP="00FF512E">
      <w:pPr>
        <w:pStyle w:val="FP"/>
        <w:jc w:val="both"/>
        <w:rPr>
          <w:sz w:val="18"/>
          <w:szCs w:val="18"/>
          <w:lang w:val="sv-SE"/>
        </w:rPr>
      </w:pPr>
      <w:r w:rsidRPr="00FF512E">
        <w:rPr>
          <w:sz w:val="18"/>
          <w:szCs w:val="18"/>
          <w:lang w:val="sv-SE"/>
        </w:rPr>
        <w:t>© Comité Européen de Normalisation yyyy.</w:t>
      </w:r>
    </w:p>
    <w:p w14:paraId="6D9DF29B" w14:textId="77777777" w:rsidR="00FF512E" w:rsidRPr="00FF512E" w:rsidRDefault="00FF512E" w:rsidP="00FF512E">
      <w:pPr>
        <w:pStyle w:val="FP"/>
        <w:jc w:val="both"/>
        <w:rPr>
          <w:sz w:val="18"/>
          <w:szCs w:val="18"/>
        </w:rPr>
      </w:pPr>
      <w:r w:rsidRPr="00FF512E">
        <w:rPr>
          <w:sz w:val="18"/>
          <w:szCs w:val="18"/>
        </w:rPr>
        <w:t>© WIMAX Forum yyyy.</w:t>
      </w:r>
    </w:p>
    <w:p w14:paraId="5F711FCA" w14:textId="77777777" w:rsidR="00FF512E" w:rsidRPr="00FF512E" w:rsidRDefault="00FF512E" w:rsidP="00FF512E">
      <w:pPr>
        <w:jc w:val="both"/>
        <w:rPr>
          <w:lang w:val="en-US"/>
        </w:rPr>
      </w:pPr>
      <w:r w:rsidRPr="00FF512E">
        <w:rPr>
          <w:lang w:val="en-US"/>
        </w:rPr>
        <w:br w:type="page"/>
      </w:r>
    </w:p>
    <w:p w14:paraId="11DD6F6A"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7707DF9D" w14:textId="77777777" w:rsidR="00FF512E" w:rsidRPr="00FF512E" w:rsidRDefault="004A4E6D" w:rsidP="00FF512E">
      <w:pPr>
        <w:pStyle w:val="TDC1"/>
        <w:jc w:val="both"/>
        <w:rPr>
          <w:sz w:val="24"/>
          <w:szCs w:val="24"/>
          <w:lang w:val="en-US" w:eastAsia="es-ES_tradnl"/>
        </w:rPr>
      </w:pPr>
      <w:r w:rsidRPr="00FF512E">
        <w:fldChar w:fldCharType="begin"/>
      </w:r>
      <w:r w:rsidR="00FF512E" w:rsidRPr="00FF512E">
        <w:instrText xml:space="preserve"> TOC \o \w "1-9"</w:instrText>
      </w:r>
      <w:r w:rsidRPr="00FF512E">
        <w:fldChar w:fldCharType="separate"/>
      </w:r>
      <w:r w:rsidR="00FF512E" w:rsidRPr="00FF512E">
        <w:t>Intellectual Property Rights</w:t>
      </w:r>
      <w:r w:rsidR="00FF512E" w:rsidRPr="00FF512E">
        <w:tab/>
      </w:r>
    </w:p>
    <w:p w14:paraId="041A8D63" w14:textId="77777777" w:rsidR="00FF512E" w:rsidRPr="00FF512E" w:rsidRDefault="00FF512E" w:rsidP="00FF512E">
      <w:pPr>
        <w:pStyle w:val="TDC1"/>
        <w:jc w:val="both"/>
        <w:rPr>
          <w:sz w:val="24"/>
          <w:szCs w:val="24"/>
          <w:lang w:val="en-US" w:eastAsia="es-ES_tradnl"/>
        </w:rPr>
      </w:pPr>
      <w:r w:rsidRPr="00FF512E">
        <w:t>Foreword</w:t>
      </w:r>
      <w:r w:rsidRPr="00FF512E">
        <w:tab/>
      </w:r>
    </w:p>
    <w:p w14:paraId="09AED27B" w14:textId="77777777" w:rsidR="00FF512E" w:rsidRPr="00FF512E" w:rsidRDefault="00FF512E" w:rsidP="00FF512E">
      <w:pPr>
        <w:pStyle w:val="TDC1"/>
        <w:jc w:val="both"/>
        <w:rPr>
          <w:sz w:val="24"/>
          <w:szCs w:val="24"/>
          <w:lang w:val="en-US" w:eastAsia="es-ES_tradnl"/>
        </w:rPr>
      </w:pPr>
      <w:r w:rsidRPr="00FF512E">
        <w:t>Modal verbs terminology</w:t>
      </w:r>
      <w:r w:rsidRPr="00FF512E">
        <w:tab/>
      </w:r>
    </w:p>
    <w:p w14:paraId="12CD5F0D" w14:textId="77777777" w:rsidR="00FF512E" w:rsidRPr="00FF512E" w:rsidRDefault="00FF512E" w:rsidP="00FF512E">
      <w:pPr>
        <w:pStyle w:val="TDC1"/>
        <w:jc w:val="both"/>
        <w:rPr>
          <w:sz w:val="24"/>
          <w:szCs w:val="24"/>
          <w:lang w:val="en-US" w:eastAsia="es-ES_tradnl"/>
        </w:rPr>
      </w:pPr>
      <w:r w:rsidRPr="00FF512E">
        <w:t>Executive summary</w:t>
      </w:r>
      <w:r w:rsidRPr="00FF512E">
        <w:tab/>
      </w:r>
    </w:p>
    <w:p w14:paraId="6BC42932" w14:textId="77777777" w:rsidR="00FF512E" w:rsidRPr="00FF512E" w:rsidRDefault="00FF512E" w:rsidP="00FF512E">
      <w:pPr>
        <w:pStyle w:val="TDC1"/>
        <w:jc w:val="both"/>
        <w:rPr>
          <w:sz w:val="24"/>
          <w:szCs w:val="24"/>
          <w:lang w:val="en-US" w:eastAsia="es-ES_tradnl"/>
        </w:rPr>
      </w:pPr>
      <w:r w:rsidRPr="00FF512E">
        <w:t>Introduction</w:t>
      </w:r>
      <w:r w:rsidRPr="00FF512E">
        <w:tab/>
      </w:r>
    </w:p>
    <w:p w14:paraId="5F6D5B33" w14:textId="77777777" w:rsidR="00FF512E" w:rsidRPr="00FF512E" w:rsidRDefault="00FF512E" w:rsidP="00FF512E">
      <w:pPr>
        <w:pStyle w:val="TDC1"/>
        <w:jc w:val="both"/>
        <w:rPr>
          <w:sz w:val="24"/>
          <w:szCs w:val="24"/>
          <w:lang w:val="en-US" w:eastAsia="es-ES_tradnl"/>
        </w:rPr>
      </w:pPr>
      <w:r w:rsidRPr="00FF512E">
        <w:t>1</w:t>
      </w:r>
      <w:r w:rsidRPr="00FF512E">
        <w:tab/>
        <w:t>Scope</w:t>
      </w:r>
      <w:r w:rsidRPr="00FF512E">
        <w:tab/>
      </w:r>
    </w:p>
    <w:p w14:paraId="01508D12" w14:textId="77777777" w:rsidR="00FF512E" w:rsidRPr="00FF512E" w:rsidRDefault="00FF512E" w:rsidP="00FF512E">
      <w:pPr>
        <w:pStyle w:val="TDC1"/>
        <w:jc w:val="both"/>
        <w:rPr>
          <w:sz w:val="24"/>
          <w:szCs w:val="24"/>
          <w:lang w:val="en-US" w:eastAsia="es-ES_tradnl"/>
        </w:rPr>
      </w:pPr>
      <w:r w:rsidRPr="00FF512E">
        <w:t>2</w:t>
      </w:r>
      <w:r w:rsidRPr="00FF512E">
        <w:tab/>
        <w:t>References</w:t>
      </w:r>
      <w:r w:rsidRPr="00FF512E">
        <w:tab/>
      </w:r>
    </w:p>
    <w:p w14:paraId="0A40A157" w14:textId="77777777" w:rsidR="00FF512E" w:rsidRPr="00FF512E" w:rsidRDefault="00FF512E" w:rsidP="00FF512E">
      <w:pPr>
        <w:pStyle w:val="TDC2"/>
        <w:jc w:val="both"/>
        <w:rPr>
          <w:sz w:val="24"/>
          <w:szCs w:val="24"/>
          <w:lang w:val="en-US" w:eastAsia="es-ES_tradnl"/>
        </w:rPr>
      </w:pPr>
      <w:r w:rsidRPr="00FF512E">
        <w:t>2.1</w:t>
      </w:r>
      <w:r w:rsidRPr="00FF512E">
        <w:tab/>
        <w:t>Normative references</w:t>
      </w:r>
      <w:r w:rsidRPr="00FF512E">
        <w:tab/>
      </w:r>
    </w:p>
    <w:p w14:paraId="6C7A4A1D" w14:textId="77777777" w:rsidR="00FF512E" w:rsidRPr="00FF512E" w:rsidRDefault="00FF512E" w:rsidP="00FF512E">
      <w:pPr>
        <w:pStyle w:val="TDC2"/>
        <w:jc w:val="both"/>
        <w:rPr>
          <w:sz w:val="24"/>
          <w:szCs w:val="24"/>
          <w:lang w:val="en-US" w:eastAsia="es-ES_tradnl"/>
        </w:rPr>
      </w:pPr>
      <w:r w:rsidRPr="00FF512E">
        <w:t>2.2</w:t>
      </w:r>
      <w:r w:rsidRPr="00FF512E">
        <w:tab/>
        <w:t>Informative references</w:t>
      </w:r>
      <w:r w:rsidRPr="00FF512E">
        <w:tab/>
      </w:r>
    </w:p>
    <w:p w14:paraId="2A7A3921" w14:textId="77777777" w:rsidR="00FF512E" w:rsidRPr="00FF512E" w:rsidRDefault="00FF512E" w:rsidP="00FF512E">
      <w:pPr>
        <w:pStyle w:val="TDC1"/>
        <w:jc w:val="both"/>
        <w:rPr>
          <w:sz w:val="24"/>
          <w:szCs w:val="24"/>
          <w:lang w:val="en-US" w:eastAsia="es-ES_tradnl"/>
        </w:rPr>
      </w:pPr>
      <w:r w:rsidRPr="00FF512E">
        <w:t>3</w:t>
      </w:r>
      <w:r w:rsidRPr="00FF512E">
        <w:tab/>
        <w:t>Definition of terms, symbols and abbreviations</w:t>
      </w:r>
      <w:r w:rsidRPr="00FF512E">
        <w:tab/>
      </w:r>
    </w:p>
    <w:p w14:paraId="2DEE6927" w14:textId="77777777" w:rsidR="00FF512E" w:rsidRPr="00FF512E" w:rsidRDefault="00FF512E" w:rsidP="00FF512E">
      <w:pPr>
        <w:pStyle w:val="TDC2"/>
        <w:jc w:val="both"/>
        <w:rPr>
          <w:sz w:val="24"/>
          <w:szCs w:val="24"/>
          <w:lang w:val="en-US" w:eastAsia="es-ES_tradnl"/>
        </w:rPr>
      </w:pPr>
      <w:r w:rsidRPr="00FF512E">
        <w:t>3.1</w:t>
      </w:r>
      <w:r w:rsidRPr="00FF512E">
        <w:tab/>
        <w:t>Terms</w:t>
      </w:r>
      <w:r w:rsidRPr="00FF512E">
        <w:tab/>
      </w:r>
    </w:p>
    <w:p w14:paraId="2E44BF8E" w14:textId="77777777" w:rsidR="00FF512E" w:rsidRPr="00FF512E" w:rsidRDefault="00FF512E" w:rsidP="00FF512E">
      <w:pPr>
        <w:pStyle w:val="TDC2"/>
        <w:jc w:val="both"/>
        <w:rPr>
          <w:sz w:val="24"/>
          <w:szCs w:val="24"/>
          <w:lang w:val="en-US" w:eastAsia="es-ES_tradnl"/>
        </w:rPr>
      </w:pPr>
      <w:r w:rsidRPr="00FF512E">
        <w:t>3.2</w:t>
      </w:r>
      <w:r w:rsidRPr="00FF512E">
        <w:tab/>
        <w:t>Symbols</w:t>
      </w:r>
      <w:r w:rsidRPr="00FF512E">
        <w:tab/>
      </w:r>
    </w:p>
    <w:p w14:paraId="1E7581E1" w14:textId="77777777" w:rsidR="00FF512E" w:rsidRPr="00FF512E" w:rsidRDefault="00FF512E" w:rsidP="00FF512E">
      <w:pPr>
        <w:pStyle w:val="TDC2"/>
        <w:jc w:val="both"/>
        <w:rPr>
          <w:sz w:val="24"/>
          <w:szCs w:val="24"/>
          <w:lang w:val="en-US" w:eastAsia="es-ES_tradnl"/>
        </w:rPr>
      </w:pPr>
      <w:r w:rsidRPr="00FF512E">
        <w:t>3.3</w:t>
      </w:r>
      <w:r w:rsidRPr="00FF512E">
        <w:tab/>
        <w:t>Abbreviations</w:t>
      </w:r>
      <w:r w:rsidRPr="00FF512E">
        <w:tab/>
      </w:r>
    </w:p>
    <w:p w14:paraId="1D045FAB" w14:textId="77777777" w:rsidR="00FF512E" w:rsidRPr="00FF512E" w:rsidRDefault="00FF512E" w:rsidP="00FF512E">
      <w:pPr>
        <w:pStyle w:val="TDC1"/>
        <w:jc w:val="both"/>
        <w:rPr>
          <w:sz w:val="24"/>
          <w:szCs w:val="24"/>
          <w:lang w:val="en-US" w:eastAsia="es-ES_tradnl"/>
        </w:rPr>
      </w:pPr>
      <w:r w:rsidRPr="00FF512E">
        <w:t>4</w:t>
      </w:r>
      <w:r w:rsidRPr="00FF512E">
        <w:tab/>
        <w:t>Why Interoperability between PDLs</w:t>
      </w:r>
      <w:r w:rsidRPr="00FF512E">
        <w:tab/>
      </w:r>
    </w:p>
    <w:p w14:paraId="4BD6EF2C" w14:textId="77777777" w:rsidR="00FF512E" w:rsidRPr="00FF512E" w:rsidRDefault="00FF512E" w:rsidP="00FF512E">
      <w:pPr>
        <w:pStyle w:val="TDC1"/>
        <w:jc w:val="both"/>
      </w:pPr>
      <w:r w:rsidRPr="00FF512E">
        <w:t xml:space="preserve">5      </w:t>
      </w:r>
      <w:r w:rsidRPr="00FF512E">
        <w:tab/>
        <w:t>Types of PDL Interoperability</w:t>
      </w:r>
    </w:p>
    <w:p w14:paraId="0FA252D7" w14:textId="77777777" w:rsidR="00FF512E" w:rsidRPr="00FF512E" w:rsidRDefault="00FF512E" w:rsidP="00FF512E">
      <w:pPr>
        <w:pStyle w:val="TDC1"/>
        <w:jc w:val="both"/>
      </w:pPr>
      <w:r w:rsidRPr="00FF512E">
        <w:t xml:space="preserve">5.1. </w:t>
      </w:r>
      <w:r w:rsidRPr="00FF512E">
        <w:tab/>
        <w:t>Unidirectional</w:t>
      </w:r>
    </w:p>
    <w:p w14:paraId="6150AC23" w14:textId="77777777" w:rsidR="00FF512E" w:rsidRPr="00FF512E" w:rsidRDefault="00FF512E" w:rsidP="00FF512E">
      <w:pPr>
        <w:pStyle w:val="TDC1"/>
        <w:jc w:val="both"/>
      </w:pPr>
      <w:r w:rsidRPr="00FF512E">
        <w:t xml:space="preserve">5.2. </w:t>
      </w:r>
      <w:r w:rsidRPr="00FF512E">
        <w:tab/>
        <w:t>Bidirectional</w:t>
      </w:r>
    </w:p>
    <w:p w14:paraId="6EE8B718" w14:textId="77777777" w:rsidR="00FF512E" w:rsidRPr="00FF512E" w:rsidRDefault="00FF512E" w:rsidP="00FF512E">
      <w:pPr>
        <w:pStyle w:val="TDC1"/>
        <w:jc w:val="both"/>
      </w:pPr>
      <w:r w:rsidRPr="00FF512E">
        <w:t>6.</w:t>
      </w:r>
      <w:r w:rsidRPr="00FF512E">
        <w:tab/>
        <w:t>PDL Interoperabilitiy tools</w:t>
      </w:r>
    </w:p>
    <w:p w14:paraId="70C501A3" w14:textId="77777777" w:rsidR="00FF512E" w:rsidRPr="00FF512E" w:rsidRDefault="00FF512E" w:rsidP="00FF512E">
      <w:pPr>
        <w:pStyle w:val="TDC1"/>
        <w:jc w:val="both"/>
      </w:pPr>
      <w:r w:rsidRPr="00FF512E">
        <w:t xml:space="preserve">7. </w:t>
      </w:r>
      <w:r w:rsidRPr="00FF512E">
        <w:tab/>
        <w:t>PDL Interoperability solutions</w:t>
      </w:r>
    </w:p>
    <w:p w14:paraId="50DCB609" w14:textId="77777777" w:rsidR="00FF512E" w:rsidRDefault="00FF512E" w:rsidP="00FF512E">
      <w:pPr>
        <w:pStyle w:val="TDC1"/>
        <w:jc w:val="both"/>
      </w:pPr>
      <w:r w:rsidRPr="00FF512E">
        <w:t>8.</w:t>
      </w:r>
      <w:r w:rsidRPr="00FF512E">
        <w:tab/>
        <w:t>PDL Interoperability requirements</w:t>
      </w:r>
      <w:r w:rsidRPr="00FF512E">
        <w:tab/>
        <w:t>……………………………………………………………………</w:t>
      </w:r>
    </w:p>
    <w:p w14:paraId="3E405FCC" w14:textId="77777777" w:rsidR="001659C5" w:rsidRPr="00FF512E" w:rsidRDefault="001659C5" w:rsidP="00FF512E">
      <w:pPr>
        <w:pStyle w:val="TDC1"/>
        <w:jc w:val="both"/>
        <w:rPr>
          <w:b/>
          <w:sz w:val="24"/>
          <w:szCs w:val="24"/>
          <w:lang w:val="en-US" w:eastAsia="es-ES_tradnl"/>
        </w:rPr>
      </w:pPr>
      <w:r w:rsidRPr="001659C5">
        <w:rPr>
          <w:highlight w:val="yellow"/>
        </w:rPr>
        <w:t>Bibliography:</w:t>
      </w:r>
    </w:p>
    <w:p w14:paraId="46A7D77F" w14:textId="77777777" w:rsidR="00FF512E" w:rsidRPr="00FF512E" w:rsidRDefault="004A4E6D" w:rsidP="00FF512E">
      <w:pPr>
        <w:jc w:val="both"/>
        <w:rPr>
          <w:lang w:val="en-US"/>
        </w:rPr>
      </w:pPr>
      <w:r w:rsidRPr="00FF512E">
        <w:fldChar w:fldCharType="end"/>
      </w:r>
    </w:p>
    <w:p w14:paraId="3002FA6E" w14:textId="77777777" w:rsidR="00FF512E" w:rsidRPr="00FF512E" w:rsidRDefault="00FF512E" w:rsidP="00FF512E">
      <w:pPr>
        <w:jc w:val="both"/>
        <w:rPr>
          <w:lang w:val="en-US"/>
        </w:rPr>
      </w:pPr>
    </w:p>
    <w:p w14:paraId="7D4E18E3" w14:textId="77777777" w:rsidR="00FF512E" w:rsidRPr="00FF512E" w:rsidRDefault="00FF512E" w:rsidP="00FF512E">
      <w:pPr>
        <w:pStyle w:val="Ttulo1"/>
        <w:jc w:val="both"/>
        <w:rPr>
          <w:rFonts w:ascii="Times New Roman" w:hAnsi="Times New Roman"/>
        </w:rPr>
      </w:pPr>
      <w:bookmarkStart w:id="13" w:name="_Toc486250549"/>
      <w:bookmarkStart w:id="14" w:name="_Toc486251365"/>
      <w:bookmarkStart w:id="15" w:name="_Toc486253302"/>
      <w:bookmarkStart w:id="16" w:name="_Toc486253330"/>
      <w:bookmarkStart w:id="17" w:name="_Toc486322646"/>
      <w:bookmarkStart w:id="18" w:name="_Toc527621341"/>
      <w:bookmarkStart w:id="19" w:name="_Toc527622190"/>
    </w:p>
    <w:p w14:paraId="381DAEE2" w14:textId="77777777" w:rsidR="00FF512E" w:rsidRPr="00FF512E" w:rsidRDefault="00FF512E" w:rsidP="00FF512E">
      <w:pPr>
        <w:pStyle w:val="Ttulo1"/>
        <w:jc w:val="both"/>
        <w:rPr>
          <w:rFonts w:ascii="Times New Roman" w:hAnsi="Times New Roman"/>
          <w:i/>
          <w:color w:val="76923C"/>
          <w:sz w:val="24"/>
          <w:szCs w:val="24"/>
        </w:rPr>
      </w:pPr>
      <w:bookmarkStart w:id="20" w:name="_Toc23330309"/>
      <w:r w:rsidRPr="00FF512E">
        <w:rPr>
          <w:rFonts w:ascii="Times New Roman" w:hAnsi="Times New Roman"/>
        </w:rPr>
        <w:t>Intellectual Property Rights</w:t>
      </w:r>
      <w:bookmarkEnd w:id="2"/>
      <w:bookmarkEnd w:id="20"/>
      <w:r w:rsidRPr="00FF512E">
        <w:rPr>
          <w:rFonts w:ascii="Times New Roman" w:hAnsi="Times New Roman"/>
        </w:rPr>
        <w:t xml:space="preserve"> </w:t>
      </w:r>
      <w:bookmarkEnd w:id="13"/>
      <w:bookmarkEnd w:id="14"/>
      <w:bookmarkEnd w:id="15"/>
      <w:bookmarkEnd w:id="16"/>
      <w:bookmarkEnd w:id="17"/>
      <w:bookmarkEnd w:id="18"/>
      <w:bookmarkEnd w:id="19"/>
    </w:p>
    <w:p w14:paraId="65CAD5A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3173B220"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hyperlink r:id="rId13" w:history="1">
        <w:r w:rsidRPr="00FF512E">
          <w:rPr>
            <w:rStyle w:val="Hipervnculo"/>
            <w:lang w:val="en-US"/>
          </w:rPr>
          <w:t>https://ipr.etsi.org</w:t>
        </w:r>
      </w:hyperlink>
      <w:r w:rsidRPr="00FF512E">
        <w:rPr>
          <w:lang w:val="en-US"/>
        </w:rPr>
        <w:t>).</w:t>
      </w:r>
    </w:p>
    <w:p w14:paraId="3E854786" w14:textId="77777777" w:rsidR="00FF512E" w:rsidRPr="00FF512E" w:rsidRDefault="00FF512E" w:rsidP="00FF512E">
      <w:pPr>
        <w:jc w:val="both"/>
        <w:rPr>
          <w:lang w:val="en-US"/>
        </w:rPr>
      </w:pPr>
      <w:r w:rsidRPr="00FF512E">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A15A79D" w14:textId="77777777" w:rsidR="00FF512E" w:rsidRPr="00FF512E" w:rsidRDefault="00FF512E" w:rsidP="00FF512E">
      <w:pPr>
        <w:pStyle w:val="H6"/>
        <w:jc w:val="both"/>
        <w:rPr>
          <w:rFonts w:ascii="Times New Roman" w:hAnsi="Times New Roman"/>
        </w:rPr>
      </w:pPr>
      <w:r w:rsidRPr="00FF512E">
        <w:rPr>
          <w:rFonts w:ascii="Times New Roman" w:hAnsi="Times New Roman"/>
        </w:rPr>
        <w:t>Trademarks</w:t>
      </w:r>
    </w:p>
    <w:p w14:paraId="4BCBF3E6" w14:textId="77777777" w:rsidR="00FF512E" w:rsidRPr="00FF512E" w:rsidRDefault="00FF512E" w:rsidP="00FF512E">
      <w:pPr>
        <w:jc w:val="both"/>
        <w:rPr>
          <w:lang w:val="en-US"/>
        </w:rPr>
      </w:pPr>
      <w:r w:rsidRPr="00FF512E">
        <w:rPr>
          <w:lang w:val="en-US"/>
        </w:rPr>
        <w:t xml:space="preserve">The present document may include trademarks and/or tradenames which are asserted and/or registered by their owners. ETSI claims no ownership of these except for any which are indicated as </w:t>
      </w:r>
      <w:r w:rsidRPr="00FF512E">
        <w:rPr>
          <w:lang w:val="en-US"/>
        </w:rPr>
        <w:lastRenderedPageBreak/>
        <w:t>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A588B6E" w14:textId="77777777" w:rsidR="00FF512E" w:rsidRPr="00FF512E" w:rsidRDefault="00FF512E" w:rsidP="00FF512E">
      <w:pPr>
        <w:pStyle w:val="Ttulo1"/>
        <w:jc w:val="both"/>
        <w:rPr>
          <w:rFonts w:ascii="Times New Roman" w:hAnsi="Times New Roman"/>
          <w:i/>
          <w:color w:val="76923C"/>
          <w:sz w:val="24"/>
          <w:szCs w:val="24"/>
        </w:rPr>
      </w:pPr>
      <w:bookmarkStart w:id="21" w:name="_Toc451246112"/>
      <w:bookmarkStart w:id="22" w:name="_Toc23330310"/>
      <w:bookmarkStart w:id="23" w:name="_Toc486250550"/>
      <w:bookmarkStart w:id="24" w:name="_Toc486251366"/>
      <w:bookmarkStart w:id="25" w:name="_Toc486253303"/>
      <w:bookmarkStart w:id="26" w:name="_Toc486253331"/>
      <w:bookmarkStart w:id="27" w:name="_Toc486322647"/>
      <w:bookmarkStart w:id="28" w:name="_Toc527621342"/>
      <w:bookmarkStart w:id="29" w:name="_Toc527622191"/>
      <w:r w:rsidRPr="00FF512E">
        <w:rPr>
          <w:rFonts w:ascii="Times New Roman" w:hAnsi="Times New Roman"/>
        </w:rPr>
        <w:t>Foreword</w:t>
      </w:r>
      <w:bookmarkEnd w:id="21"/>
      <w:bookmarkEnd w:id="22"/>
      <w:r w:rsidRPr="00FF512E">
        <w:rPr>
          <w:rFonts w:ascii="Times New Roman" w:hAnsi="Times New Roman"/>
        </w:rPr>
        <w:t xml:space="preserve"> </w:t>
      </w:r>
      <w:bookmarkEnd w:id="23"/>
      <w:bookmarkEnd w:id="24"/>
      <w:bookmarkEnd w:id="25"/>
      <w:bookmarkEnd w:id="26"/>
      <w:bookmarkEnd w:id="27"/>
      <w:bookmarkEnd w:id="28"/>
      <w:bookmarkEnd w:id="29"/>
    </w:p>
    <w:bookmarkStart w:id="30" w:name="_Hlk527464307"/>
    <w:p w14:paraId="61E9E2BC" w14:textId="77777777" w:rsidR="00FF512E" w:rsidRPr="00FF512E" w:rsidRDefault="004A4E6D" w:rsidP="00FF512E">
      <w:pPr>
        <w:jc w:val="both"/>
        <w:rPr>
          <w:rStyle w:val="Hipervnculo"/>
          <w:rFonts w:eastAsiaTheme="minorEastAsia"/>
          <w:i/>
          <w:color w:val="76923C"/>
          <w:sz w:val="18"/>
          <w:szCs w:val="18"/>
          <w:lang w:val="en-US" w:eastAsia="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r w:rsidRPr="00FF512E">
        <w:rPr>
          <w:i/>
          <w:color w:val="76923C"/>
          <w:sz w:val="18"/>
          <w:szCs w:val="18"/>
          <w:lang w:eastAsia="en-GB"/>
        </w:rPr>
        <w:fldChar w:fldCharType="end"/>
      </w:r>
      <w:r w:rsidR="00FF512E" w:rsidRPr="00FF512E">
        <w:rPr>
          <w:rStyle w:val="Hipervnculo"/>
          <w:i/>
          <w:color w:val="76923C"/>
          <w:sz w:val="18"/>
          <w:szCs w:val="18"/>
          <w:lang w:val="en-US"/>
        </w:rPr>
        <w:t>,</w:t>
      </w:r>
      <w:r w:rsidR="00FF512E" w:rsidRPr="00FF512E">
        <w:rPr>
          <w:rStyle w:val="Guidance"/>
          <w:rFonts w:ascii="Times New Roman" w:hAnsi="Times New Roman" w:cs="Times New Roman"/>
          <w:lang w:val="en-US"/>
        </w:rPr>
        <w:t xml:space="preserve"> </w:t>
      </w:r>
      <w:bookmarkEnd w:id="30"/>
    </w:p>
    <w:p w14:paraId="64AC3617" w14:textId="77777777" w:rsidR="00FF512E" w:rsidRPr="00FF512E" w:rsidRDefault="00FF512E" w:rsidP="00FF512E">
      <w:pPr>
        <w:jc w:val="both"/>
        <w:rPr>
          <w:strike/>
          <w:lang w:val="en-US"/>
        </w:rPr>
      </w:pPr>
      <w:bookmarkStart w:id="31" w:name="For_tbname"/>
      <w:r w:rsidRPr="00FF512E">
        <w:rPr>
          <w:lang w:val="en-US"/>
        </w:rPr>
        <w:t xml:space="preserve">This Group Report (GR) has been produced by ETSI Industry Specification Group &lt;long ISGname&gt; </w:t>
      </w:r>
      <w:bookmarkEnd w:id="31"/>
      <w:r w:rsidRPr="00FF512E">
        <w:rPr>
          <w:lang w:val="en-US"/>
        </w:rPr>
        <w:t>(</w:t>
      </w:r>
      <w:bookmarkStart w:id="32" w:name="For_shortname"/>
      <w:r w:rsidRPr="00FF512E">
        <w:rPr>
          <w:lang w:val="en-US"/>
        </w:rPr>
        <w:t>&lt;short ISGname&gt;</w:t>
      </w:r>
      <w:bookmarkEnd w:id="32"/>
      <w:r w:rsidRPr="00FF512E">
        <w:rPr>
          <w:lang w:val="en-US"/>
        </w:rPr>
        <w:t>).</w:t>
      </w:r>
    </w:p>
    <w:p w14:paraId="3DA3EA7F" w14:textId="77777777" w:rsidR="00FF512E" w:rsidRPr="00FF512E" w:rsidRDefault="00FF512E" w:rsidP="00FF512E">
      <w:pPr>
        <w:jc w:val="both"/>
        <w:rPr>
          <w:lang w:val="en-US"/>
        </w:rPr>
      </w:pPr>
      <w:r w:rsidRPr="00FF512E">
        <w:rPr>
          <w:lang w:val="en-US"/>
        </w:rPr>
        <w:t>The present document is part &lt;i&gt;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5467D151" w14:textId="77777777" w:rsidR="00FF512E" w:rsidRPr="00FF512E" w:rsidRDefault="00FF512E" w:rsidP="00FF512E">
      <w:pPr>
        <w:pStyle w:val="Ttulo1"/>
        <w:jc w:val="both"/>
        <w:rPr>
          <w:rFonts w:ascii="Times New Roman" w:hAnsi="Times New Roman"/>
          <w:b/>
        </w:rPr>
      </w:pPr>
      <w:bookmarkStart w:id="33" w:name="_Toc451246113"/>
      <w:bookmarkStart w:id="34" w:name="_Toc23330311"/>
      <w:bookmarkStart w:id="35" w:name="_Toc486250552"/>
      <w:bookmarkStart w:id="36" w:name="_Toc486251368"/>
      <w:bookmarkStart w:id="37" w:name="_Toc486253305"/>
      <w:bookmarkStart w:id="38" w:name="_Toc486253333"/>
      <w:bookmarkStart w:id="39" w:name="_Toc486322649"/>
      <w:bookmarkStart w:id="40" w:name="_Toc527621343"/>
      <w:bookmarkStart w:id="41" w:name="_Toc527622192"/>
      <w:r w:rsidRPr="00FF512E">
        <w:rPr>
          <w:rFonts w:ascii="Times New Roman" w:hAnsi="Times New Roman"/>
        </w:rPr>
        <w:t>Modal verbs terminology</w:t>
      </w:r>
      <w:bookmarkEnd w:id="33"/>
      <w:bookmarkEnd w:id="34"/>
      <w:r w:rsidRPr="00FF512E">
        <w:rPr>
          <w:rFonts w:ascii="Times New Roman" w:hAnsi="Times New Roman"/>
        </w:rPr>
        <w:t xml:space="preserve"> </w:t>
      </w:r>
      <w:bookmarkEnd w:id="35"/>
      <w:bookmarkEnd w:id="36"/>
      <w:bookmarkEnd w:id="37"/>
      <w:bookmarkEnd w:id="38"/>
      <w:bookmarkEnd w:id="39"/>
      <w:bookmarkEnd w:id="40"/>
      <w:bookmarkEnd w:id="41"/>
    </w:p>
    <w:bookmarkStart w:id="42" w:name="_Hlk527370496"/>
    <w:p w14:paraId="2DD5FFB2" w14:textId="77777777" w:rsidR="00FF512E" w:rsidRPr="00FF512E" w:rsidRDefault="004A4E6D"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i/>
          <w:color w:val="0000FF"/>
          <w:sz w:val="18"/>
          <w:szCs w:val="18"/>
          <w:u w:val="single"/>
          <w:lang w:val="en-US" w:eastAsia="en-GB"/>
        </w:rPr>
        <w:t>ETSI Drafting Rules</w:t>
      </w:r>
      <w:r w:rsidR="00FF512E" w:rsidRPr="00FF512E">
        <w:rPr>
          <w:color w:val="0000FF"/>
          <w:u w:val="single"/>
          <w:lang w:val="en-US"/>
        </w:rPr>
        <w:t xml:space="preserve"> (</w:t>
      </w:r>
      <w:r w:rsidR="00FF512E" w:rsidRPr="00FF512E">
        <w:rPr>
          <w:i/>
          <w:color w:val="0000FF"/>
          <w:sz w:val="18"/>
          <w:szCs w:val="18"/>
          <w:u w:val="single"/>
          <w:lang w:val="en-US"/>
        </w:rPr>
        <w:t>EDRs)</w:t>
      </w:r>
      <w:r w:rsidRPr="00FF512E">
        <w:rPr>
          <w:i/>
          <w:color w:val="76923C"/>
          <w:sz w:val="18"/>
          <w:szCs w:val="18"/>
          <w:lang w:eastAsia="en-GB"/>
        </w:rPr>
        <w:fldChar w:fldCharType="end"/>
      </w:r>
      <w:r w:rsidR="00FF512E" w:rsidRPr="00FF512E">
        <w:rPr>
          <w:i/>
          <w:color w:val="76923C"/>
          <w:sz w:val="18"/>
          <w:szCs w:val="18"/>
          <w:u w:val="single"/>
          <w:lang w:val="en-US"/>
        </w:rPr>
        <w:t>,</w:t>
      </w:r>
      <w:r w:rsidR="00FF512E" w:rsidRPr="00FF512E">
        <w:rPr>
          <w:i/>
          <w:color w:val="76923C"/>
          <w:sz w:val="18"/>
          <w:szCs w:val="18"/>
          <w:lang w:val="en-US"/>
        </w:rPr>
        <w:t xml:space="preserve"> </w:t>
      </w:r>
      <w:bookmarkEnd w:id="42"/>
    </w:p>
    <w:p w14:paraId="05BF1F64"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hyperlink r:id="rId14" w:history="1">
        <w:r w:rsidRPr="00FF512E">
          <w:rPr>
            <w:rStyle w:val="Hipervnculo"/>
            <w:lang w:val="en-US"/>
          </w:rPr>
          <w:t>ETSI Drafting Rules</w:t>
        </w:r>
      </w:hyperlink>
      <w:r w:rsidRPr="00FF512E">
        <w:rPr>
          <w:lang w:val="en-US"/>
        </w:rPr>
        <w:t xml:space="preserve"> (Verbal forms for the expression of provisions).</w:t>
      </w:r>
    </w:p>
    <w:p w14:paraId="1023FCFF"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4FAD88EB" w14:textId="77777777" w:rsidR="00FF512E" w:rsidRPr="00FF512E" w:rsidRDefault="00FF512E" w:rsidP="00FF512E">
      <w:pPr>
        <w:pStyle w:val="Ttulo1"/>
        <w:jc w:val="both"/>
        <w:rPr>
          <w:rFonts w:ascii="Times New Roman" w:hAnsi="Times New Roman"/>
        </w:rPr>
      </w:pPr>
      <w:bookmarkStart w:id="43" w:name="_Toc451246114"/>
      <w:bookmarkStart w:id="44" w:name="_Toc486250553"/>
      <w:bookmarkStart w:id="45" w:name="_Toc486251369"/>
      <w:bookmarkStart w:id="46" w:name="_Toc486253306"/>
      <w:bookmarkStart w:id="47" w:name="_Toc486253334"/>
      <w:bookmarkStart w:id="48" w:name="_Toc486322650"/>
      <w:bookmarkStart w:id="49" w:name="_Toc527621344"/>
      <w:bookmarkStart w:id="50" w:name="_Toc527622193"/>
    </w:p>
    <w:p w14:paraId="4F6A87BF" w14:textId="77777777" w:rsidR="00FF512E" w:rsidRPr="00FF512E" w:rsidRDefault="00FF512E" w:rsidP="00FF512E">
      <w:pPr>
        <w:pStyle w:val="Ttulo1"/>
        <w:jc w:val="both"/>
        <w:rPr>
          <w:rFonts w:ascii="Times New Roman" w:hAnsi="Times New Roman"/>
        </w:rPr>
      </w:pPr>
    </w:p>
    <w:p w14:paraId="44E68533" w14:textId="77777777" w:rsidR="00FF512E" w:rsidRPr="00FF512E" w:rsidRDefault="00FF512E" w:rsidP="00FF512E">
      <w:pPr>
        <w:jc w:val="both"/>
        <w:rPr>
          <w:lang w:val="en-US"/>
        </w:rPr>
      </w:pPr>
    </w:p>
    <w:p w14:paraId="5A90D50F" w14:textId="77777777" w:rsidR="00FF512E" w:rsidRPr="00FF512E" w:rsidRDefault="00FF512E" w:rsidP="00FF512E">
      <w:pPr>
        <w:pStyle w:val="Ttulo1"/>
        <w:jc w:val="both"/>
        <w:rPr>
          <w:rFonts w:ascii="Times New Roman" w:hAnsi="Times New Roman"/>
        </w:rPr>
      </w:pPr>
    </w:p>
    <w:p w14:paraId="014A90FF" w14:textId="77777777" w:rsidR="00FF512E" w:rsidRPr="00FF512E" w:rsidRDefault="00FF512E" w:rsidP="00FF512E">
      <w:pPr>
        <w:pStyle w:val="Ttulo1"/>
        <w:jc w:val="both"/>
        <w:rPr>
          <w:rFonts w:ascii="Times New Roman" w:hAnsi="Times New Roman"/>
        </w:rPr>
      </w:pPr>
      <w:bookmarkStart w:id="51" w:name="_Toc23330312"/>
      <w:r w:rsidRPr="00FF512E">
        <w:rPr>
          <w:rFonts w:ascii="Times New Roman" w:hAnsi="Times New Roman"/>
        </w:rPr>
        <w:t>Executive summary</w:t>
      </w:r>
      <w:bookmarkEnd w:id="43"/>
      <w:bookmarkEnd w:id="51"/>
      <w:r w:rsidRPr="00FF512E">
        <w:rPr>
          <w:rFonts w:ascii="Times New Roman" w:hAnsi="Times New Roman"/>
        </w:rPr>
        <w:t xml:space="preserve"> </w:t>
      </w:r>
      <w:bookmarkEnd w:id="44"/>
      <w:bookmarkEnd w:id="45"/>
      <w:bookmarkEnd w:id="46"/>
      <w:bookmarkEnd w:id="47"/>
      <w:bookmarkEnd w:id="48"/>
      <w:bookmarkEnd w:id="49"/>
      <w:bookmarkEnd w:id="50"/>
    </w:p>
    <w:p w14:paraId="24A9335F" w14:textId="77777777" w:rsidR="00FF512E" w:rsidRPr="00FF512E" w:rsidRDefault="00BE44EF" w:rsidP="00FF512E">
      <w:pPr>
        <w:jc w:val="both"/>
        <w:rPr>
          <w:i/>
          <w:color w:val="76923C"/>
          <w:sz w:val="18"/>
          <w:szCs w:val="18"/>
          <w:lang w:val="en-US"/>
        </w:rPr>
      </w:pPr>
      <w:hyperlink r:id="rId15" w:history="1">
        <w:bookmarkStart w:id="52" w:name="_Toc527123098"/>
        <w:bookmarkStart w:id="53" w:name="_Toc527123158"/>
        <w:bookmarkStart w:id="54" w:name="_Toc527123202"/>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hyperlink>
      <w:r w:rsidR="00FF512E" w:rsidRPr="00FF512E">
        <w:rPr>
          <w:rStyle w:val="Hipervnculo"/>
          <w:i/>
          <w:color w:val="76923C"/>
          <w:sz w:val="18"/>
          <w:szCs w:val="18"/>
          <w:lang w:val="en-US"/>
        </w:rPr>
        <w:t>,</w:t>
      </w:r>
      <w:bookmarkStart w:id="55" w:name="_Toc451246115"/>
      <w:bookmarkStart w:id="56" w:name="_Toc486250554"/>
      <w:bookmarkStart w:id="57" w:name="_Toc486251370"/>
      <w:bookmarkStart w:id="58" w:name="_Toc486253307"/>
      <w:bookmarkStart w:id="59" w:name="_Toc486253335"/>
      <w:bookmarkStart w:id="60" w:name="_Toc486322651"/>
      <w:bookmarkStart w:id="61" w:name="_Toc527621345"/>
      <w:bookmarkStart w:id="62" w:name="_Toc527622194"/>
      <w:bookmarkEnd w:id="52"/>
      <w:bookmarkEnd w:id="53"/>
      <w:bookmarkEnd w:id="54"/>
    </w:p>
    <w:p w14:paraId="0A2487DA" w14:textId="77777777" w:rsidR="00FF512E" w:rsidRPr="00FF512E" w:rsidRDefault="00FF512E" w:rsidP="00FF512E">
      <w:pPr>
        <w:pStyle w:val="Ttulo1"/>
        <w:jc w:val="both"/>
        <w:rPr>
          <w:rFonts w:ascii="Times New Roman" w:hAnsi="Times New Roman"/>
        </w:rPr>
      </w:pPr>
      <w:bookmarkStart w:id="63" w:name="_Toc23330313"/>
      <w:r w:rsidRPr="00FF512E">
        <w:rPr>
          <w:rFonts w:ascii="Times New Roman" w:hAnsi="Times New Roman"/>
        </w:rPr>
        <w:t>Introduction</w:t>
      </w:r>
      <w:bookmarkEnd w:id="55"/>
      <w:bookmarkEnd w:id="63"/>
      <w:r w:rsidRPr="00FF512E">
        <w:rPr>
          <w:rFonts w:ascii="Times New Roman" w:hAnsi="Times New Roman"/>
        </w:rPr>
        <w:t xml:space="preserve"> </w:t>
      </w:r>
      <w:bookmarkEnd w:id="56"/>
      <w:bookmarkEnd w:id="57"/>
      <w:bookmarkEnd w:id="58"/>
      <w:bookmarkEnd w:id="59"/>
      <w:bookmarkEnd w:id="60"/>
      <w:bookmarkEnd w:id="61"/>
      <w:bookmarkEnd w:id="62"/>
    </w:p>
    <w:bookmarkStart w:id="64" w:name="_Hlk527031841"/>
    <w:bookmarkStart w:id="65" w:name="_Hlk527370669"/>
    <w:p w14:paraId="367C67FC" w14:textId="77777777" w:rsidR="00FF512E" w:rsidRPr="00FF512E" w:rsidRDefault="004A4E6D" w:rsidP="00FF512E">
      <w:pPr>
        <w:jc w:val="both"/>
        <w:rPr>
          <w:rStyle w:val="Guidance"/>
          <w:rFonts w:ascii="Times New Roman" w:eastAsiaTheme="minorEastAsia" w:hAnsi="Times New Roman" w:cs="Times New Roman"/>
          <w:i w:val="0"/>
          <w:sz w:val="20"/>
          <w:szCs w:val="20"/>
          <w:lang w:val="en-US" w:eastAsia="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r w:rsidRPr="00FF512E">
        <w:rPr>
          <w:i/>
          <w:color w:val="76923C"/>
          <w:sz w:val="18"/>
          <w:szCs w:val="18"/>
          <w:lang w:eastAsia="en-GB"/>
        </w:rPr>
        <w:fldChar w:fldCharType="end"/>
      </w:r>
      <w:r w:rsidR="00FF512E" w:rsidRPr="00FF512E">
        <w:rPr>
          <w:rStyle w:val="Hipervnculo"/>
          <w:i/>
          <w:color w:val="76923C"/>
          <w:sz w:val="18"/>
          <w:szCs w:val="18"/>
          <w:lang w:val="en-US"/>
        </w:rPr>
        <w:t>,</w:t>
      </w:r>
      <w:r w:rsidR="00FF512E" w:rsidRPr="00FF512E">
        <w:rPr>
          <w:rStyle w:val="Guidance"/>
          <w:rFonts w:ascii="Times New Roman" w:hAnsi="Times New Roman" w:cs="Times New Roman"/>
          <w:lang w:val="en-US"/>
        </w:rPr>
        <w:t xml:space="preserve"> </w:t>
      </w:r>
      <w:bookmarkEnd w:id="64"/>
      <w:bookmarkEnd w:id="65"/>
    </w:p>
    <w:p w14:paraId="5DAE1011" w14:textId="77777777" w:rsidR="00FF512E" w:rsidRPr="00FF512E" w:rsidRDefault="00FF512E" w:rsidP="00FF512E">
      <w:pPr>
        <w:jc w:val="both"/>
        <w:rPr>
          <w:lang w:val="en-US"/>
        </w:rPr>
      </w:pPr>
      <w:r w:rsidRPr="00FF512E">
        <w:rPr>
          <w:lang w:val="en-US"/>
        </w:rPr>
        <w:t>Enabling communication between different DLT is a challenge that can be resolved in favour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favour of the ecosystem as a whole. Priorities for multi-stakeholders are based on interoperability and cross-chain solutions for connecting the new era of internet.</w:t>
      </w:r>
    </w:p>
    <w:p w14:paraId="79AB3257" w14:textId="77777777" w:rsidR="00FF512E" w:rsidRPr="00FF512E" w:rsidRDefault="00FF512E" w:rsidP="00FF512E">
      <w:pPr>
        <w:jc w:val="both"/>
        <w:rPr>
          <w:lang w:val="en-US"/>
        </w:rPr>
      </w:pPr>
    </w:p>
    <w:p w14:paraId="37B72F76" w14:textId="77777777" w:rsidR="00FF512E" w:rsidRPr="00FF512E" w:rsidRDefault="00FF512E" w:rsidP="00FF512E">
      <w:pPr>
        <w:jc w:val="both"/>
        <w:rPr>
          <w:lang w:val="en-US"/>
        </w:rPr>
      </w:pPr>
      <w:r w:rsidRPr="00FF512E">
        <w:rPr>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09A4A573" w14:textId="77777777" w:rsidR="00FF512E" w:rsidRPr="00FF512E" w:rsidRDefault="00FF512E" w:rsidP="00FF512E">
      <w:pPr>
        <w:jc w:val="both"/>
        <w:rPr>
          <w:lang w:val="en-US"/>
        </w:rPr>
      </w:pPr>
    </w:p>
    <w:p w14:paraId="0C6BEF9E" w14:textId="77777777" w:rsidR="00FF512E" w:rsidRPr="00FF512E" w:rsidRDefault="00FF512E" w:rsidP="00FF512E">
      <w:pPr>
        <w:jc w:val="both"/>
        <w:rPr>
          <w:lang w:val="en-US"/>
        </w:rPr>
      </w:pPr>
      <w:r w:rsidRPr="00FF512E">
        <w:rPr>
          <w:lang w:val="en-US"/>
        </w:rPr>
        <w:t xml:space="preserve">The European Interoperability Framework (EIF) from the European Commission (EC) had first version adopted in 2010 between the new EU policies in the field of information technology with </w:t>
      </w:r>
      <w:r w:rsidRPr="00FF512E">
        <w:rPr>
          <w:lang w:val="en-US"/>
        </w:rPr>
        <w:lastRenderedPageBreak/>
        <w:t xml:space="preserve">strong focus on openness and information management, data portability, interoperability governance, and integrated service delivery. Furthermore, NIFO (National Interoperability Framework Observatory)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 </w:t>
      </w:r>
    </w:p>
    <w:p w14:paraId="23D434C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EF9687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12A9E6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B0D016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CFBE0F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5F39E41"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E0B1B20"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B1C699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C0BFDA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30EDF2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C940C8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6B1485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A3145B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F4D417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1D58252"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6F5429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A0809D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16E9AC2"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B33BE8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B21D1EE"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B7F915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7F7416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3949F8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7B8BDB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55397E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2F78B7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DAEAC3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112E06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C38A9F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4DD1F9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211491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C2E7091"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CA149C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2979B9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D383928" w14:textId="77777777" w:rsidR="00FF512E" w:rsidRPr="00FF512E" w:rsidRDefault="00FF512E" w:rsidP="00FF512E">
      <w:pPr>
        <w:pStyle w:val="Ttulo1"/>
        <w:jc w:val="both"/>
        <w:rPr>
          <w:rFonts w:ascii="Times New Roman" w:hAnsi="Times New Roman"/>
        </w:rPr>
      </w:pPr>
      <w:bookmarkStart w:id="66" w:name="_Toc451246116"/>
      <w:bookmarkStart w:id="67" w:name="_Toc23330314"/>
      <w:bookmarkStart w:id="68" w:name="_Toc486250555"/>
      <w:bookmarkStart w:id="69" w:name="_Toc486251371"/>
      <w:bookmarkStart w:id="70" w:name="_Toc486253308"/>
      <w:bookmarkStart w:id="71" w:name="_Toc486253336"/>
      <w:bookmarkStart w:id="72" w:name="_Toc486322652"/>
      <w:bookmarkStart w:id="73" w:name="_Toc527621346"/>
      <w:bookmarkStart w:id="74" w:name="_Toc527622195"/>
      <w:r w:rsidRPr="00FF512E">
        <w:rPr>
          <w:rFonts w:ascii="Times New Roman" w:hAnsi="Times New Roman"/>
        </w:rPr>
        <w:lastRenderedPageBreak/>
        <w:t>1</w:t>
      </w:r>
      <w:r w:rsidRPr="00FF512E">
        <w:rPr>
          <w:rFonts w:ascii="Times New Roman" w:hAnsi="Times New Roman"/>
        </w:rPr>
        <w:tab/>
        <w:t>Scope</w:t>
      </w:r>
      <w:bookmarkEnd w:id="66"/>
      <w:bookmarkEnd w:id="67"/>
      <w:r w:rsidRPr="00FF512E">
        <w:rPr>
          <w:rFonts w:ascii="Times New Roman" w:hAnsi="Times New Roman"/>
        </w:rPr>
        <w:t xml:space="preserve"> </w:t>
      </w:r>
      <w:bookmarkEnd w:id="68"/>
      <w:bookmarkEnd w:id="69"/>
      <w:bookmarkEnd w:id="70"/>
      <w:bookmarkEnd w:id="71"/>
      <w:bookmarkEnd w:id="72"/>
      <w:bookmarkEnd w:id="73"/>
      <w:bookmarkEnd w:id="74"/>
    </w:p>
    <w:p w14:paraId="20F59CCF" w14:textId="77777777" w:rsidR="00FF512E" w:rsidRPr="00FF512E" w:rsidRDefault="00FF512E" w:rsidP="00FF512E">
      <w:pPr>
        <w:jc w:val="both"/>
        <w:rPr>
          <w:color w:val="000000" w:themeColor="text1"/>
          <w:lang w:val="en-US"/>
        </w:rPr>
      </w:pPr>
      <w:r w:rsidRPr="00FF512E">
        <w:rPr>
          <w:color w:val="000000" w:themeColor="text1"/>
          <w:lang w:val="en-US"/>
        </w:rPr>
        <w:t>This document will describe the key elements of interoperability to exchange information between different ledgers and to mutually use the information that has been exchanged.</w:t>
      </w:r>
    </w:p>
    <w:p w14:paraId="098D6C9F" w14:textId="77777777" w:rsidR="00FF512E" w:rsidRPr="00FF512E" w:rsidRDefault="00FF512E" w:rsidP="00FF512E">
      <w:pPr>
        <w:pStyle w:val="Ttulo1"/>
        <w:jc w:val="both"/>
        <w:rPr>
          <w:rFonts w:ascii="Times New Roman" w:hAnsi="Times New Roman"/>
        </w:rPr>
      </w:pPr>
      <w:bookmarkStart w:id="75" w:name="_Toc451246117"/>
      <w:bookmarkStart w:id="76" w:name="_Toc23330315"/>
      <w:bookmarkStart w:id="77" w:name="_Toc486250556"/>
      <w:bookmarkStart w:id="78" w:name="_Toc486251372"/>
      <w:bookmarkStart w:id="79" w:name="_Toc486253309"/>
      <w:bookmarkStart w:id="80" w:name="_Toc486253337"/>
      <w:bookmarkStart w:id="81" w:name="_Toc486322653"/>
      <w:bookmarkStart w:id="82" w:name="_Toc527621347"/>
      <w:bookmarkStart w:id="83" w:name="_Toc527622196"/>
      <w:bookmarkStart w:id="84" w:name="_Toc527985032"/>
      <w:r w:rsidRPr="00FF512E">
        <w:rPr>
          <w:rFonts w:ascii="Times New Roman" w:hAnsi="Times New Roman"/>
        </w:rPr>
        <w:t>2</w:t>
      </w:r>
      <w:r w:rsidRPr="00FF512E">
        <w:rPr>
          <w:rFonts w:ascii="Times New Roman" w:hAnsi="Times New Roman"/>
        </w:rPr>
        <w:tab/>
        <w:t>References</w:t>
      </w:r>
      <w:bookmarkEnd w:id="75"/>
      <w:bookmarkEnd w:id="76"/>
      <w:r w:rsidRPr="00FF512E">
        <w:rPr>
          <w:rFonts w:ascii="Times New Roman" w:hAnsi="Times New Roman"/>
        </w:rPr>
        <w:t xml:space="preserve"> </w:t>
      </w:r>
      <w:bookmarkEnd w:id="77"/>
      <w:bookmarkEnd w:id="78"/>
      <w:bookmarkEnd w:id="79"/>
      <w:bookmarkEnd w:id="80"/>
      <w:bookmarkEnd w:id="81"/>
      <w:bookmarkEnd w:id="82"/>
      <w:bookmarkEnd w:id="83"/>
      <w:bookmarkEnd w:id="84"/>
    </w:p>
    <w:p w14:paraId="118CC4D0" w14:textId="77777777" w:rsidR="00FF512E" w:rsidRPr="00FF512E" w:rsidRDefault="00FF512E" w:rsidP="00FF512E">
      <w:pPr>
        <w:pStyle w:val="Ttulo2"/>
        <w:jc w:val="both"/>
        <w:rPr>
          <w:rFonts w:ascii="Times New Roman" w:hAnsi="Times New Roman"/>
          <w:i/>
          <w:color w:val="76923C"/>
          <w:sz w:val="24"/>
          <w:szCs w:val="24"/>
        </w:rPr>
      </w:pPr>
      <w:bookmarkStart w:id="85" w:name="_Toc451246118"/>
      <w:bookmarkStart w:id="86" w:name="_Toc23330316"/>
      <w:bookmarkStart w:id="87" w:name="_Toc486250558"/>
      <w:bookmarkStart w:id="88" w:name="_Toc486251374"/>
      <w:bookmarkStart w:id="89" w:name="_Toc486253311"/>
      <w:bookmarkStart w:id="90" w:name="_Toc486253339"/>
      <w:bookmarkStart w:id="91" w:name="_Toc486322655"/>
      <w:bookmarkStart w:id="92" w:name="_Toc527621348"/>
      <w:bookmarkStart w:id="93" w:name="_Toc527622197"/>
      <w:bookmarkStart w:id="94" w:name="_Toc527985033"/>
      <w:r w:rsidRPr="00FF512E">
        <w:rPr>
          <w:rFonts w:ascii="Times New Roman" w:hAnsi="Times New Roman"/>
        </w:rPr>
        <w:t>2.1</w:t>
      </w:r>
      <w:r w:rsidRPr="00FF512E">
        <w:rPr>
          <w:rFonts w:ascii="Times New Roman" w:hAnsi="Times New Roman"/>
        </w:rPr>
        <w:tab/>
        <w:t>Normative references</w:t>
      </w:r>
      <w:bookmarkEnd w:id="85"/>
      <w:bookmarkEnd w:id="86"/>
      <w:r w:rsidRPr="00FF512E">
        <w:rPr>
          <w:rFonts w:ascii="Times New Roman" w:hAnsi="Times New Roman"/>
        </w:rPr>
        <w:t xml:space="preserve"> </w:t>
      </w:r>
      <w:bookmarkEnd w:id="87"/>
      <w:bookmarkEnd w:id="88"/>
      <w:bookmarkEnd w:id="89"/>
      <w:bookmarkEnd w:id="90"/>
      <w:bookmarkEnd w:id="91"/>
      <w:bookmarkEnd w:id="92"/>
      <w:bookmarkEnd w:id="93"/>
      <w:bookmarkEnd w:id="94"/>
    </w:p>
    <w:p w14:paraId="60672A1D" w14:textId="77777777" w:rsidR="00FF512E" w:rsidRPr="00FF512E" w:rsidRDefault="00FF512E" w:rsidP="00FF512E">
      <w:pPr>
        <w:jc w:val="both"/>
        <w:rPr>
          <w:lang w:val="en-US"/>
        </w:rPr>
      </w:pPr>
      <w:bookmarkStart w:id="95" w:name="_Toc451246119"/>
      <w:r w:rsidRPr="00FF512E">
        <w:rPr>
          <w:lang w:val="en-US"/>
        </w:rPr>
        <w:t>Normative references are not applicable in the present document.</w:t>
      </w:r>
    </w:p>
    <w:p w14:paraId="70C79078" w14:textId="77777777" w:rsidR="00FF512E" w:rsidRPr="00FF512E" w:rsidRDefault="00FF512E" w:rsidP="00FF512E">
      <w:pPr>
        <w:pStyle w:val="Ttulo2"/>
        <w:jc w:val="both"/>
        <w:rPr>
          <w:rFonts w:ascii="Times New Roman" w:hAnsi="Times New Roman"/>
        </w:rPr>
      </w:pPr>
      <w:bookmarkStart w:id="96" w:name="_Toc451246120"/>
      <w:bookmarkStart w:id="97" w:name="_Toc23330317"/>
      <w:bookmarkStart w:id="98" w:name="_Toc486250559"/>
      <w:bookmarkStart w:id="99" w:name="_Toc486251375"/>
      <w:bookmarkStart w:id="100" w:name="_Toc486253312"/>
      <w:bookmarkStart w:id="101" w:name="_Toc486253340"/>
      <w:bookmarkStart w:id="102" w:name="_Toc486322656"/>
      <w:bookmarkStart w:id="103" w:name="_Toc527621349"/>
      <w:bookmarkStart w:id="104" w:name="_Toc527622198"/>
      <w:bookmarkStart w:id="105" w:name="_Toc527985034"/>
      <w:bookmarkEnd w:id="95"/>
      <w:r w:rsidRPr="00FF512E">
        <w:rPr>
          <w:rFonts w:ascii="Times New Roman" w:hAnsi="Times New Roman"/>
        </w:rPr>
        <w:t>2.2</w:t>
      </w:r>
      <w:r w:rsidRPr="00FF512E">
        <w:rPr>
          <w:rFonts w:ascii="Times New Roman" w:hAnsi="Times New Roman"/>
        </w:rPr>
        <w:tab/>
        <w:t>Informative references</w:t>
      </w:r>
      <w:bookmarkEnd w:id="96"/>
      <w:bookmarkEnd w:id="97"/>
      <w:r w:rsidRPr="00FF512E">
        <w:rPr>
          <w:rFonts w:ascii="Times New Roman" w:hAnsi="Times New Roman"/>
        </w:rPr>
        <w:t xml:space="preserve"> </w:t>
      </w:r>
      <w:bookmarkEnd w:id="98"/>
      <w:bookmarkEnd w:id="99"/>
      <w:bookmarkEnd w:id="100"/>
      <w:bookmarkEnd w:id="101"/>
      <w:bookmarkEnd w:id="102"/>
      <w:bookmarkEnd w:id="103"/>
      <w:bookmarkEnd w:id="104"/>
      <w:bookmarkEnd w:id="105"/>
    </w:p>
    <w:p w14:paraId="32FE480D" w14:textId="77777777" w:rsidR="00FF512E" w:rsidRPr="00FF512E" w:rsidRDefault="00FF512E" w:rsidP="00FF512E">
      <w:pPr>
        <w:jc w:val="both"/>
        <w:rPr>
          <w:lang w:val="en-US"/>
        </w:rPr>
      </w:pPr>
      <w:r w:rsidRPr="00FF512E">
        <w:rPr>
          <w:lang w:val="en-US"/>
        </w:rPr>
        <w:t>European Blockchain Services Infrastructure (EBSI)</w:t>
      </w:r>
    </w:p>
    <w:p w14:paraId="601EE952" w14:textId="77777777" w:rsidR="00FF512E" w:rsidRPr="00FF512E" w:rsidRDefault="00BE44EF" w:rsidP="00FF512E">
      <w:pPr>
        <w:jc w:val="both"/>
        <w:rPr>
          <w:lang w:val="en-US"/>
        </w:rPr>
      </w:pPr>
      <w:hyperlink r:id="rId16" w:history="1">
        <w:r w:rsidR="00FF512E" w:rsidRPr="00FF512E">
          <w:rPr>
            <w:color w:val="0000FF"/>
            <w:u w:val="single"/>
            <w:lang w:val="en-US"/>
          </w:rPr>
          <w:t>https://ec.europa.eu/cefdigital/wiki/display/CEFDIGITAL/EBSI</w:t>
        </w:r>
      </w:hyperlink>
    </w:p>
    <w:p w14:paraId="1CE9DD63" w14:textId="77777777" w:rsidR="00FF512E" w:rsidRPr="00FF512E" w:rsidRDefault="00FF512E" w:rsidP="00FF512E">
      <w:pPr>
        <w:jc w:val="both"/>
        <w:rPr>
          <w:lang w:val="en-US"/>
        </w:rPr>
      </w:pPr>
    </w:p>
    <w:p w14:paraId="52DED656" w14:textId="77777777" w:rsidR="00FF512E" w:rsidRPr="00FF512E" w:rsidRDefault="00FF512E" w:rsidP="00FF512E">
      <w:pPr>
        <w:jc w:val="both"/>
        <w:rPr>
          <w:lang w:val="en-US"/>
        </w:rPr>
      </w:pPr>
      <w:r w:rsidRPr="00FF512E">
        <w:rPr>
          <w:lang w:val="en-US"/>
        </w:rPr>
        <w:t xml:space="preserve">European Interoperability Framework (EIF) </w:t>
      </w:r>
    </w:p>
    <w:p w14:paraId="49D183FF" w14:textId="77777777" w:rsidR="00FF512E" w:rsidRPr="00FF512E" w:rsidRDefault="00FF512E" w:rsidP="00FF512E">
      <w:pPr>
        <w:jc w:val="both"/>
        <w:rPr>
          <w:lang w:val="en-US"/>
        </w:rPr>
      </w:pPr>
      <w:r w:rsidRPr="00FF512E">
        <w:rPr>
          <w:lang w:val="en-US"/>
        </w:rPr>
        <w:t xml:space="preserve">“Full Text: </w:t>
      </w:r>
      <w:hyperlink r:id="rId17" w:history="1">
        <w:r w:rsidRPr="00FF512E">
          <w:rPr>
            <w:color w:val="0000FF"/>
            <w:u w:val="single"/>
            <w:lang w:val="en-US"/>
          </w:rPr>
          <w:t>https://ec.europa.eu/isa2/sites/isa/files/eif_brochure_final.pdf</w:t>
        </w:r>
      </w:hyperlink>
    </w:p>
    <w:p w14:paraId="05C1B6EA" w14:textId="77777777" w:rsidR="00FF512E" w:rsidRPr="00FF512E" w:rsidRDefault="00FF512E" w:rsidP="00FF512E">
      <w:pPr>
        <w:jc w:val="both"/>
        <w:rPr>
          <w:lang w:val="en-US"/>
        </w:rPr>
      </w:pPr>
    </w:p>
    <w:p w14:paraId="7392EA59" w14:textId="77777777" w:rsidR="00FF512E" w:rsidRPr="00FF512E" w:rsidRDefault="00FF512E" w:rsidP="00FF512E">
      <w:pPr>
        <w:pStyle w:val="Ttulo1"/>
        <w:jc w:val="both"/>
        <w:rPr>
          <w:rFonts w:ascii="Times New Roman" w:hAnsi="Times New Roman"/>
        </w:rPr>
      </w:pPr>
      <w:bookmarkStart w:id="106" w:name="_Toc451246121"/>
      <w:bookmarkStart w:id="107" w:name="_Toc23330318"/>
      <w:bookmarkStart w:id="108" w:name="_Toc486250560"/>
      <w:bookmarkStart w:id="109" w:name="_Toc486251376"/>
      <w:bookmarkStart w:id="110" w:name="_Toc486253313"/>
      <w:bookmarkStart w:id="111" w:name="_Toc486253341"/>
      <w:bookmarkStart w:id="112" w:name="_Toc486322657"/>
      <w:bookmarkStart w:id="113" w:name="_Toc527621350"/>
      <w:bookmarkStart w:id="114" w:name="_Toc527622199"/>
      <w:r w:rsidRPr="00FF512E">
        <w:rPr>
          <w:rFonts w:ascii="Times New Roman" w:hAnsi="Times New Roman"/>
        </w:rPr>
        <w:t>3</w:t>
      </w:r>
      <w:r w:rsidRPr="00FF512E">
        <w:rPr>
          <w:rFonts w:ascii="Times New Roman" w:hAnsi="Times New Roman"/>
        </w:rPr>
        <w:tab/>
        <w:t>Definition of terms, symbols and abbreviations</w:t>
      </w:r>
      <w:bookmarkEnd w:id="106"/>
      <w:bookmarkEnd w:id="107"/>
      <w:r w:rsidRPr="00FF512E">
        <w:rPr>
          <w:rFonts w:ascii="Times New Roman" w:hAnsi="Times New Roman"/>
        </w:rPr>
        <w:t xml:space="preserve"> </w:t>
      </w:r>
      <w:bookmarkEnd w:id="108"/>
      <w:bookmarkEnd w:id="109"/>
      <w:bookmarkEnd w:id="110"/>
      <w:bookmarkEnd w:id="111"/>
      <w:bookmarkEnd w:id="112"/>
      <w:bookmarkEnd w:id="113"/>
      <w:bookmarkEnd w:id="114"/>
    </w:p>
    <w:p w14:paraId="66355323" w14:textId="77777777" w:rsidR="00FF512E" w:rsidRPr="00FF512E" w:rsidRDefault="00FF512E" w:rsidP="00FF512E">
      <w:pPr>
        <w:pStyle w:val="Ttulo2"/>
        <w:jc w:val="both"/>
        <w:rPr>
          <w:rFonts w:ascii="Times New Roman" w:hAnsi="Times New Roman"/>
        </w:rPr>
      </w:pPr>
      <w:bookmarkStart w:id="115" w:name="_Toc451246122"/>
      <w:bookmarkStart w:id="116" w:name="_Toc23330319"/>
      <w:bookmarkStart w:id="117" w:name="_Toc486250561"/>
      <w:bookmarkStart w:id="118" w:name="_Toc486251377"/>
      <w:bookmarkStart w:id="119" w:name="_Toc486253314"/>
      <w:bookmarkStart w:id="120" w:name="_Toc486253342"/>
      <w:bookmarkStart w:id="121" w:name="_Toc486322658"/>
      <w:bookmarkStart w:id="122" w:name="_Toc527621351"/>
      <w:bookmarkStart w:id="123" w:name="_Toc527622200"/>
      <w:r w:rsidRPr="00FF512E">
        <w:rPr>
          <w:rFonts w:ascii="Times New Roman" w:hAnsi="Times New Roman"/>
        </w:rPr>
        <w:t>3.1</w:t>
      </w:r>
      <w:r w:rsidRPr="00FF512E">
        <w:rPr>
          <w:rFonts w:ascii="Times New Roman" w:hAnsi="Times New Roman"/>
        </w:rPr>
        <w:tab/>
      </w:r>
      <w:bookmarkEnd w:id="115"/>
      <w:r w:rsidRPr="00FF512E">
        <w:rPr>
          <w:rFonts w:ascii="Times New Roman" w:hAnsi="Times New Roman"/>
        </w:rPr>
        <w:t>Terms</w:t>
      </w:r>
      <w:bookmarkEnd w:id="116"/>
      <w:r w:rsidRPr="00FF512E">
        <w:rPr>
          <w:rFonts w:ascii="Times New Roman" w:hAnsi="Times New Roman"/>
        </w:rPr>
        <w:t xml:space="preserve"> </w:t>
      </w:r>
      <w:bookmarkEnd w:id="117"/>
      <w:bookmarkEnd w:id="118"/>
      <w:bookmarkEnd w:id="119"/>
      <w:bookmarkEnd w:id="120"/>
      <w:bookmarkEnd w:id="121"/>
      <w:bookmarkEnd w:id="122"/>
      <w:bookmarkEnd w:id="123"/>
    </w:p>
    <w:p w14:paraId="26C35AD4" w14:textId="77777777" w:rsidR="00FF512E" w:rsidRPr="00FF512E" w:rsidRDefault="00FF512E" w:rsidP="00FF512E">
      <w:pPr>
        <w:pStyle w:val="Ttulo2"/>
        <w:keepLines w:val="0"/>
        <w:widowControl w:val="0"/>
        <w:jc w:val="both"/>
        <w:rPr>
          <w:rFonts w:ascii="Times New Roman" w:hAnsi="Times New Roman"/>
        </w:rPr>
      </w:pPr>
      <w:bookmarkStart w:id="124" w:name="_Toc451246123"/>
      <w:bookmarkStart w:id="125" w:name="_Toc23330320"/>
      <w:bookmarkStart w:id="126" w:name="_Toc486250562"/>
      <w:bookmarkStart w:id="127" w:name="_Toc486251378"/>
      <w:bookmarkStart w:id="128" w:name="_Toc486253315"/>
      <w:bookmarkStart w:id="129" w:name="_Toc486253343"/>
      <w:bookmarkStart w:id="130" w:name="_Toc486322659"/>
      <w:bookmarkStart w:id="131" w:name="_Toc527621352"/>
      <w:bookmarkStart w:id="132" w:name="_Toc527622201"/>
      <w:r w:rsidRPr="00FF512E">
        <w:rPr>
          <w:rFonts w:ascii="Times New Roman" w:hAnsi="Times New Roman"/>
        </w:rPr>
        <w:t>3.2</w:t>
      </w:r>
      <w:r w:rsidRPr="00FF512E">
        <w:rPr>
          <w:rFonts w:ascii="Times New Roman" w:hAnsi="Times New Roman"/>
        </w:rPr>
        <w:tab/>
        <w:t>Symbols</w:t>
      </w:r>
      <w:bookmarkEnd w:id="124"/>
      <w:bookmarkEnd w:id="125"/>
      <w:r w:rsidRPr="00FF512E">
        <w:rPr>
          <w:rFonts w:ascii="Times New Roman" w:hAnsi="Times New Roman"/>
        </w:rPr>
        <w:t xml:space="preserve"> </w:t>
      </w:r>
      <w:bookmarkStart w:id="133" w:name="_Toc451246124"/>
      <w:bookmarkEnd w:id="126"/>
      <w:bookmarkEnd w:id="127"/>
      <w:bookmarkEnd w:id="128"/>
      <w:bookmarkEnd w:id="129"/>
      <w:bookmarkEnd w:id="130"/>
      <w:bookmarkEnd w:id="131"/>
      <w:bookmarkEnd w:id="132"/>
    </w:p>
    <w:p w14:paraId="2F804D2F" w14:textId="77777777" w:rsidR="00FF512E" w:rsidRPr="00FF512E" w:rsidRDefault="00FF512E" w:rsidP="00FF512E">
      <w:pPr>
        <w:pStyle w:val="Ttulo2"/>
        <w:jc w:val="both"/>
        <w:rPr>
          <w:rFonts w:ascii="Times New Roman" w:hAnsi="Times New Roman"/>
        </w:rPr>
      </w:pPr>
      <w:bookmarkStart w:id="134" w:name="_Toc23330321"/>
      <w:bookmarkStart w:id="135" w:name="_Toc486250563"/>
      <w:bookmarkStart w:id="136" w:name="_Toc486251379"/>
      <w:bookmarkStart w:id="137" w:name="_Toc486253316"/>
      <w:bookmarkStart w:id="138" w:name="_Toc486253344"/>
      <w:bookmarkStart w:id="139" w:name="_Toc486322660"/>
      <w:bookmarkStart w:id="140" w:name="_Toc527621353"/>
      <w:bookmarkStart w:id="141" w:name="_Toc527622202"/>
      <w:r w:rsidRPr="00FF512E">
        <w:rPr>
          <w:rFonts w:ascii="Times New Roman" w:hAnsi="Times New Roman"/>
        </w:rPr>
        <w:t>3.3</w:t>
      </w:r>
      <w:r w:rsidRPr="00FF512E">
        <w:rPr>
          <w:rFonts w:ascii="Times New Roman" w:hAnsi="Times New Roman"/>
        </w:rPr>
        <w:tab/>
        <w:t>Abbreviations</w:t>
      </w:r>
      <w:bookmarkEnd w:id="133"/>
      <w:bookmarkEnd w:id="134"/>
      <w:r w:rsidRPr="00FF512E">
        <w:rPr>
          <w:rFonts w:ascii="Times New Roman" w:hAnsi="Times New Roman"/>
        </w:rPr>
        <w:t xml:space="preserve"> </w:t>
      </w:r>
      <w:bookmarkEnd w:id="135"/>
      <w:bookmarkEnd w:id="136"/>
      <w:bookmarkEnd w:id="137"/>
      <w:bookmarkEnd w:id="138"/>
      <w:bookmarkEnd w:id="139"/>
      <w:bookmarkEnd w:id="140"/>
      <w:bookmarkEnd w:id="141"/>
    </w:p>
    <w:p w14:paraId="681DD991" w14:textId="77777777" w:rsidR="00FF512E" w:rsidRPr="00FF512E" w:rsidRDefault="00FF512E" w:rsidP="00FF512E">
      <w:pPr>
        <w:jc w:val="both"/>
        <w:rPr>
          <w:color w:val="000000" w:themeColor="text1"/>
          <w:lang w:val="en-US"/>
        </w:rPr>
      </w:pPr>
      <w:r w:rsidRPr="00FF512E">
        <w:rPr>
          <w:color w:val="000000" w:themeColor="text1"/>
          <w:lang w:val="en-US"/>
        </w:rPr>
        <w:t xml:space="preserve">ABBs : Architecture Building Blocks </w:t>
      </w:r>
    </w:p>
    <w:p w14:paraId="5C30732E" w14:textId="77777777" w:rsidR="00FF512E" w:rsidRPr="00FF512E" w:rsidRDefault="00FF512E" w:rsidP="00FF512E">
      <w:pPr>
        <w:jc w:val="both"/>
        <w:rPr>
          <w:color w:val="000000" w:themeColor="text1"/>
          <w:lang w:val="en-US"/>
        </w:rPr>
      </w:pPr>
      <w:r w:rsidRPr="00FF512E">
        <w:rPr>
          <w:color w:val="000000" w:themeColor="text1"/>
          <w:lang w:val="en-US"/>
        </w:rPr>
        <w:t>API: Application Programming Interface</w:t>
      </w:r>
    </w:p>
    <w:p w14:paraId="49BF8DF1" w14:textId="77777777" w:rsidR="00FF512E" w:rsidRPr="00FF512E" w:rsidRDefault="00FF512E" w:rsidP="00FF512E">
      <w:pPr>
        <w:jc w:val="both"/>
        <w:rPr>
          <w:color w:val="000000" w:themeColor="text1"/>
          <w:lang w:val="en-US"/>
        </w:rPr>
      </w:pPr>
      <w:r w:rsidRPr="00FF512E">
        <w:rPr>
          <w:color w:val="000000" w:themeColor="text1"/>
          <w:lang w:val="en-US"/>
        </w:rPr>
        <w:t>DLT. Distributed Ledger Technology</w:t>
      </w:r>
    </w:p>
    <w:p w14:paraId="54B53569" w14:textId="77777777" w:rsidR="00FF512E" w:rsidRPr="00FF512E" w:rsidRDefault="00FF512E" w:rsidP="00FF512E">
      <w:pPr>
        <w:jc w:val="both"/>
        <w:rPr>
          <w:color w:val="000000" w:themeColor="text1"/>
          <w:lang w:val="en-US"/>
        </w:rPr>
      </w:pPr>
      <w:r w:rsidRPr="00FF512E">
        <w:rPr>
          <w:color w:val="000000" w:themeColor="text1"/>
          <w:lang w:val="en-US"/>
        </w:rPr>
        <w:t>DL SAT ( Detailed-level Interoperability Requirements Solution Architecture Template)</w:t>
      </w:r>
    </w:p>
    <w:p w14:paraId="46CED556" w14:textId="77777777" w:rsidR="00FF512E" w:rsidRPr="00FF512E" w:rsidRDefault="00FF512E" w:rsidP="00FF512E">
      <w:pPr>
        <w:jc w:val="both"/>
        <w:rPr>
          <w:color w:val="000000" w:themeColor="text1"/>
          <w:lang w:val="en-US"/>
        </w:rPr>
      </w:pPr>
      <w:r w:rsidRPr="00FF512E">
        <w:rPr>
          <w:color w:val="000000" w:themeColor="text1"/>
          <w:lang w:val="en-US"/>
        </w:rPr>
        <w:t>EBSI: European Blockchain Service Infrastructure</w:t>
      </w:r>
    </w:p>
    <w:p w14:paraId="07DB1611" w14:textId="77777777" w:rsidR="00FF512E" w:rsidRPr="00FF512E" w:rsidRDefault="00FF512E" w:rsidP="00FF512E">
      <w:pPr>
        <w:jc w:val="both"/>
        <w:rPr>
          <w:color w:val="000000" w:themeColor="text1"/>
          <w:lang w:val="en-US"/>
        </w:rPr>
      </w:pPr>
      <w:r w:rsidRPr="00FF512E">
        <w:rPr>
          <w:color w:val="000000" w:themeColor="text1"/>
          <w:lang w:val="en-US"/>
        </w:rPr>
        <w:t>EC:  European Commission</w:t>
      </w:r>
    </w:p>
    <w:p w14:paraId="7AEA4B23" w14:textId="77777777" w:rsidR="00FF512E" w:rsidRPr="00FF512E" w:rsidRDefault="00FF512E" w:rsidP="00FF512E">
      <w:pPr>
        <w:jc w:val="both"/>
        <w:rPr>
          <w:color w:val="000000" w:themeColor="text1"/>
          <w:lang w:val="en-US"/>
        </w:rPr>
      </w:pPr>
      <w:r w:rsidRPr="00FF512E">
        <w:rPr>
          <w:color w:val="000000" w:themeColor="text1"/>
          <w:lang w:val="en-US"/>
        </w:rPr>
        <w:t>EIF: European Interoperability Framework</w:t>
      </w:r>
    </w:p>
    <w:p w14:paraId="09516A11" w14:textId="77777777" w:rsidR="00FF512E" w:rsidRPr="00FF512E" w:rsidRDefault="00FF512E" w:rsidP="00FF512E">
      <w:pPr>
        <w:jc w:val="both"/>
        <w:rPr>
          <w:color w:val="000000" w:themeColor="text1"/>
          <w:lang w:val="en-US"/>
        </w:rPr>
      </w:pPr>
      <w:r w:rsidRPr="00FF512E">
        <w:rPr>
          <w:color w:val="000000" w:themeColor="text1"/>
          <w:lang w:val="en-US"/>
        </w:rPr>
        <w:t xml:space="preserve">EIS: European Interoperability Strategy </w:t>
      </w:r>
    </w:p>
    <w:p w14:paraId="135EB478" w14:textId="77777777" w:rsidR="00FF512E" w:rsidRPr="00FF512E" w:rsidRDefault="00FF512E" w:rsidP="00FF512E">
      <w:pPr>
        <w:jc w:val="both"/>
        <w:rPr>
          <w:color w:val="000000" w:themeColor="text1"/>
          <w:lang w:val="en-US"/>
        </w:rPr>
      </w:pPr>
      <w:r w:rsidRPr="00FF512E">
        <w:rPr>
          <w:color w:val="000000" w:themeColor="text1"/>
          <w:lang w:val="en-US"/>
        </w:rPr>
        <w:t>EIRA: European Interoperability Reference Architecture.</w:t>
      </w:r>
    </w:p>
    <w:p w14:paraId="333E0C1A" w14:textId="77777777" w:rsidR="00FF512E" w:rsidRPr="00FF512E" w:rsidRDefault="00FF512E" w:rsidP="00FF512E">
      <w:pPr>
        <w:jc w:val="both"/>
        <w:rPr>
          <w:color w:val="000000" w:themeColor="text1"/>
          <w:lang w:val="en-US"/>
        </w:rPr>
      </w:pPr>
      <w:r w:rsidRPr="00FF512E">
        <w:rPr>
          <w:color w:val="000000" w:themeColor="text1"/>
          <w:lang w:val="en-US"/>
        </w:rPr>
        <w:t>NIFO: National Interoperability Framework Observatory</w:t>
      </w:r>
    </w:p>
    <w:p w14:paraId="6E63173C" w14:textId="77777777" w:rsidR="00FF512E" w:rsidRPr="00FF512E" w:rsidRDefault="00FF512E" w:rsidP="00FF512E">
      <w:pPr>
        <w:jc w:val="both"/>
        <w:rPr>
          <w:color w:val="000000" w:themeColor="text1"/>
          <w:lang w:val="en-US"/>
        </w:rPr>
      </w:pPr>
      <w:r w:rsidRPr="00FF512E">
        <w:rPr>
          <w:color w:val="000000" w:themeColor="text1"/>
          <w:lang w:val="en-US"/>
        </w:rPr>
        <w:t>OOP: Once and Only Principle.</w:t>
      </w:r>
    </w:p>
    <w:p w14:paraId="6A7F582C" w14:textId="77777777" w:rsidR="00FF512E" w:rsidRPr="00FF512E" w:rsidRDefault="00FF512E" w:rsidP="00FF512E">
      <w:pPr>
        <w:jc w:val="both"/>
        <w:rPr>
          <w:color w:val="000000" w:themeColor="text1"/>
          <w:u w:val="single"/>
          <w:lang w:val="en-US"/>
        </w:rPr>
      </w:pPr>
      <w:r w:rsidRPr="00FF512E">
        <w:rPr>
          <w:color w:val="000000" w:themeColor="text1"/>
          <w:u w:val="single"/>
          <w:lang w:val="en-US"/>
        </w:rPr>
        <w:t>PDL: Permissioned Distributed Ledger</w:t>
      </w:r>
    </w:p>
    <w:p w14:paraId="32668818" w14:textId="77777777" w:rsidR="00FF512E" w:rsidRPr="00FF512E" w:rsidRDefault="00FF512E" w:rsidP="00FF512E">
      <w:pPr>
        <w:jc w:val="both"/>
        <w:rPr>
          <w:color w:val="000000" w:themeColor="text1"/>
          <w:lang w:val="en-US"/>
        </w:rPr>
      </w:pPr>
      <w:r w:rsidRPr="00FF512E">
        <w:rPr>
          <w:color w:val="000000" w:themeColor="text1"/>
          <w:lang w:val="en-US"/>
        </w:rPr>
        <w:t>SAT: Solution Architecture Template</w:t>
      </w:r>
    </w:p>
    <w:p w14:paraId="227FE114" w14:textId="77777777" w:rsidR="00FF512E" w:rsidRPr="00FF512E" w:rsidRDefault="00FF512E" w:rsidP="00FF512E">
      <w:pPr>
        <w:jc w:val="both"/>
        <w:rPr>
          <w:color w:val="000000" w:themeColor="text1"/>
          <w:lang w:val="en-US"/>
        </w:rPr>
      </w:pPr>
      <w:r w:rsidRPr="00FF512E">
        <w:rPr>
          <w:color w:val="000000" w:themeColor="text1"/>
          <w:lang w:val="en-US"/>
        </w:rPr>
        <w:t>URL: Uniform Resource Locator</w:t>
      </w:r>
    </w:p>
    <w:p w14:paraId="1EEA865F" w14:textId="77777777" w:rsidR="00FF512E" w:rsidRPr="00FF512E" w:rsidRDefault="00FF512E" w:rsidP="00FF512E">
      <w:pPr>
        <w:jc w:val="both"/>
        <w:rPr>
          <w:u w:val="single"/>
          <w:lang w:val="en-US"/>
        </w:rPr>
      </w:pPr>
    </w:p>
    <w:p w14:paraId="2631B6A4" w14:textId="77777777" w:rsidR="00FF512E" w:rsidRPr="00FF512E" w:rsidRDefault="00FF512E" w:rsidP="00FF512E">
      <w:pPr>
        <w:jc w:val="both"/>
        <w:rPr>
          <w:lang w:val="en-US"/>
        </w:rPr>
      </w:pPr>
    </w:p>
    <w:p w14:paraId="5C387A08" w14:textId="77777777" w:rsidR="00FF512E" w:rsidRPr="00FF512E" w:rsidRDefault="00FF512E" w:rsidP="00FF512E">
      <w:pPr>
        <w:jc w:val="both"/>
        <w:rPr>
          <w:lang w:val="en-US"/>
        </w:rPr>
      </w:pPr>
    </w:p>
    <w:p w14:paraId="7DAE778B" w14:textId="77777777" w:rsidR="00FF512E" w:rsidRPr="00FF512E" w:rsidRDefault="00FF512E" w:rsidP="00FF512E">
      <w:pPr>
        <w:jc w:val="both"/>
        <w:rPr>
          <w:lang w:val="en-US"/>
        </w:rPr>
      </w:pPr>
    </w:p>
    <w:p w14:paraId="292D0C41" w14:textId="77777777" w:rsidR="00FF512E" w:rsidRPr="00FF512E" w:rsidRDefault="00FF512E" w:rsidP="00FF512E">
      <w:pPr>
        <w:pStyle w:val="Ttulo1"/>
        <w:jc w:val="both"/>
        <w:rPr>
          <w:rFonts w:ascii="Times New Roman" w:hAnsi="Times New Roman"/>
        </w:rPr>
      </w:pPr>
      <w:r w:rsidRPr="00FF512E">
        <w:rPr>
          <w:rFonts w:ascii="Times New Roman" w:hAnsi="Times New Roman"/>
        </w:rPr>
        <w:t>4</w:t>
      </w:r>
      <w:r w:rsidRPr="00FF512E">
        <w:rPr>
          <w:rFonts w:ascii="Times New Roman" w:hAnsi="Times New Roman"/>
        </w:rPr>
        <w:tab/>
        <w:t>Why Interoperability between PDLs:</w:t>
      </w:r>
    </w:p>
    <w:p w14:paraId="403BDDB9" w14:textId="77777777" w:rsidR="00FF512E" w:rsidRPr="00095598" w:rsidRDefault="00FF512E" w:rsidP="00095598">
      <w:pPr>
        <w:jc w:val="both"/>
        <w:rPr>
          <w:lang w:val="en-US"/>
        </w:rPr>
      </w:pPr>
    </w:p>
    <w:p w14:paraId="53B5E051" w14:textId="77777777" w:rsidR="00FF512E" w:rsidRPr="00FF512E" w:rsidRDefault="00FF512E" w:rsidP="00095598">
      <w:pPr>
        <w:ind w:left="360"/>
        <w:jc w:val="both"/>
        <w:rPr>
          <w:lang w:val="en-US"/>
        </w:rPr>
      </w:pPr>
    </w:p>
    <w:p w14:paraId="036B62AA" w14:textId="77777777" w:rsidR="00FF512E" w:rsidRPr="000E160C" w:rsidRDefault="00FF512E" w:rsidP="000E160C">
      <w:pPr>
        <w:jc w:val="both"/>
        <w:rPr>
          <w:color w:val="000000" w:themeColor="text1"/>
          <w:lang w:val="en-US"/>
        </w:rPr>
      </w:pPr>
      <w:r w:rsidRPr="00095598">
        <w:rPr>
          <w:color w:val="000000" w:themeColor="text1"/>
          <w:lang w:val="en-US"/>
        </w:rPr>
        <w:t xml:space="preserve">Combining two or more DLTs using interledger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p>
    <w:p w14:paraId="49B4C210" w14:textId="77777777" w:rsidR="00FF512E" w:rsidRPr="00095598" w:rsidRDefault="00FF512E" w:rsidP="00FF512E">
      <w:pPr>
        <w:jc w:val="both"/>
        <w:rPr>
          <w:color w:val="000000" w:themeColor="text1"/>
          <w:lang w:val="en-GB" w:eastAsia="en-US"/>
        </w:rPr>
      </w:pPr>
      <w:r w:rsidRPr="00095598">
        <w:rPr>
          <w:color w:val="000000" w:themeColor="text1"/>
          <w:lang w:val="en-GB" w:eastAsia="en-US"/>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p>
    <w:p w14:paraId="3685C365" w14:textId="77777777" w:rsidR="00FF512E" w:rsidRPr="00FF512E" w:rsidRDefault="00FF512E" w:rsidP="00095598">
      <w:pPr>
        <w:jc w:val="both"/>
        <w:rPr>
          <w:color w:val="000000" w:themeColor="text1"/>
          <w:lang w:val="en-US"/>
        </w:rPr>
      </w:pPr>
    </w:p>
    <w:p w14:paraId="44A5BC87" w14:textId="77777777" w:rsidR="00FF512E" w:rsidRPr="00FF512E" w:rsidRDefault="00BE44EF" w:rsidP="00FF512E">
      <w:pPr>
        <w:pStyle w:val="Ttulo1"/>
        <w:ind w:left="0" w:firstLine="0"/>
        <w:jc w:val="both"/>
        <w:rPr>
          <w:rFonts w:ascii="Times New Roman" w:hAnsi="Times New Roman"/>
        </w:rPr>
      </w:pPr>
      <w:r>
        <w:rPr>
          <w:rFonts w:ascii="Times New Roman" w:hAnsi="Times New Roman"/>
          <w:noProof/>
          <w:szCs w:val="36"/>
          <w:lang w:val="en-US"/>
        </w:rPr>
        <w:pict w14:anchorId="7C6646C4">
          <v:rect id="Rectángulo 7" o:spid="_x0000_s1027" alt="" style="position:absolute;left:0;text-align:left;margin-left:239.05pt;margin-top:-43.6pt;width:3.6pt;height:362.85pt;rotation:3216502fd;z-index:251660288;visibility:visible;mso-wrap-edited:f;mso-width-percent:0;mso-height-percent:0;mso-width-percent:0;mso-height-percent:0;mso-width-relative:margin;mso-height-relative:margin;v-text-anchor:middle" fillcolor="#4472c4 [3204]" strokecolor="#1f3763 [1604]" strokeweight="1pt"/>
        </w:pict>
      </w:r>
      <w:r>
        <w:rPr>
          <w:rFonts w:ascii="Times New Roman" w:hAnsi="Times New Roman"/>
          <w:noProof/>
          <w:szCs w:val="36"/>
          <w:lang w:val="en-US"/>
        </w:rPr>
        <w:pict w14:anchorId="2D6D4B52">
          <v:rect id="Rectángulo 6" o:spid="_x0000_s1026" alt="" style="position:absolute;left:0;text-align:left;margin-left:73.8pt;margin-top:127.8pt;width:351.15pt;height:3.6pt;rotation:20888595fd;z-index:251659264;visibility:visible;mso-wrap-edited:f;mso-width-percent:0;mso-height-percent:0;mso-width-percent:0;mso-height-percent:0;mso-width-relative:margin;mso-height-relative:margin;v-text-anchor:middle" fillcolor="#4472c4 [3204]" strokecolor="#1f3763 [1604]" strokeweight="1pt"/>
        </w:pict>
      </w:r>
      <w:r w:rsidR="00FF512E" w:rsidRPr="00FF512E">
        <w:rPr>
          <w:rFonts w:ascii="Times New Roman" w:hAnsi="Times New Roman"/>
          <w:noProof/>
          <w:lang w:val="en-US"/>
        </w:rPr>
        <w:drawing>
          <wp:inline distT="0" distB="0" distL="0" distR="0" wp14:anchorId="7C1829A5" wp14:editId="46028B36">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120765" cy="3442970"/>
                    </a:xfrm>
                    <a:prstGeom prst="rect">
                      <a:avLst/>
                    </a:prstGeom>
                  </pic:spPr>
                </pic:pic>
              </a:graphicData>
            </a:graphic>
          </wp:inline>
        </w:drawing>
      </w:r>
    </w:p>
    <w:p w14:paraId="253E61C8" w14:textId="77777777" w:rsidR="00FF512E" w:rsidRPr="00FF512E" w:rsidRDefault="00FF512E" w:rsidP="00095598">
      <w:pPr>
        <w:jc w:val="both"/>
        <w:rPr>
          <w:lang w:val="en-GB" w:eastAsia="en-US"/>
        </w:rPr>
      </w:pPr>
    </w:p>
    <w:p w14:paraId="653A0E38" w14:textId="77777777" w:rsidR="00FF512E" w:rsidRPr="00FF512E" w:rsidRDefault="00FF512E" w:rsidP="00095598">
      <w:pPr>
        <w:ind w:left="1136" w:firstLine="284"/>
        <w:jc w:val="both"/>
        <w:rPr>
          <w:lang w:val="en-GB" w:eastAsia="en-US"/>
        </w:rPr>
      </w:pPr>
      <w:r w:rsidRPr="00FF512E">
        <w:rPr>
          <w:lang w:val="en-GB" w:eastAsia="en-US"/>
        </w:rPr>
        <w:t>Figure 1 EXAMPLE OF NON INTER-LEDGER INTEROPERABILITY</w:t>
      </w:r>
    </w:p>
    <w:p w14:paraId="7F406F01" w14:textId="77777777" w:rsidR="00FF512E" w:rsidRPr="001A4C40" w:rsidRDefault="00FF512E" w:rsidP="00095598">
      <w:pPr>
        <w:jc w:val="both"/>
        <w:rPr>
          <w:lang w:val="en-GB" w:eastAsia="en-US"/>
        </w:rPr>
      </w:pPr>
    </w:p>
    <w:p w14:paraId="65EF7272" w14:textId="77777777" w:rsidR="00FF512E" w:rsidRPr="00095598" w:rsidRDefault="00FF512E" w:rsidP="00FF512E">
      <w:pPr>
        <w:jc w:val="both"/>
        <w:rPr>
          <w:lang w:val="en-GB" w:eastAsia="en-US"/>
        </w:rPr>
      </w:pPr>
      <w:r w:rsidRPr="001A4C40">
        <w:rPr>
          <w:lang w:val="en-GB" w:eastAsia="en-US"/>
        </w:rPr>
        <w:t xml:space="preserve">As per the Figure 1, there is just one ledger, in this </w:t>
      </w:r>
      <w:r w:rsidRPr="00095598">
        <w:rPr>
          <w:lang w:val="en-GB" w:eastAsia="en-US"/>
        </w:rPr>
        <w:t>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2E066DA3" w14:textId="77777777" w:rsidR="00FF512E" w:rsidRPr="00095598" w:rsidRDefault="00FF512E" w:rsidP="00095598">
      <w:pPr>
        <w:jc w:val="both"/>
        <w:rPr>
          <w:lang w:val="en-GB" w:eastAsia="en-US"/>
        </w:rPr>
      </w:pPr>
    </w:p>
    <w:p w14:paraId="47A8C11C" w14:textId="77777777" w:rsidR="00FF512E" w:rsidRPr="00095598" w:rsidRDefault="00FF512E" w:rsidP="00095598">
      <w:pPr>
        <w:jc w:val="both"/>
        <w:rPr>
          <w:lang w:val="en-GB" w:eastAsia="en-US"/>
        </w:rPr>
      </w:pPr>
    </w:p>
    <w:p w14:paraId="3005202C" w14:textId="77777777" w:rsidR="00FF512E" w:rsidRPr="00095598" w:rsidRDefault="00FF512E" w:rsidP="00095598">
      <w:pPr>
        <w:jc w:val="both"/>
        <w:rPr>
          <w:lang w:val="en-GB" w:eastAsia="en-US"/>
        </w:rPr>
      </w:pPr>
    </w:p>
    <w:p w14:paraId="4FAFF906" w14:textId="77777777" w:rsidR="00FF512E" w:rsidRPr="00095598" w:rsidRDefault="00FF512E" w:rsidP="00095598">
      <w:pPr>
        <w:jc w:val="both"/>
        <w:rPr>
          <w:sz w:val="36"/>
          <w:szCs w:val="36"/>
          <w:lang w:val="en-GB" w:eastAsia="en-US"/>
        </w:rPr>
      </w:pPr>
      <w:r w:rsidRPr="00095598">
        <w:rPr>
          <w:sz w:val="36"/>
          <w:szCs w:val="36"/>
          <w:lang w:val="en-GB" w:eastAsia="en-US"/>
        </w:rPr>
        <w:t>6.  TYPES OF PDL INTEROPERABILITY</w:t>
      </w:r>
    </w:p>
    <w:p w14:paraId="2CF12822" w14:textId="77777777" w:rsidR="00FF512E" w:rsidRPr="00095598" w:rsidRDefault="00FF512E" w:rsidP="00095598">
      <w:pPr>
        <w:jc w:val="both"/>
        <w:rPr>
          <w:sz w:val="36"/>
          <w:szCs w:val="36"/>
          <w:lang w:val="en-GB" w:eastAsia="en-US"/>
        </w:rPr>
      </w:pPr>
    </w:p>
    <w:p w14:paraId="3A9D68BC" w14:textId="77777777" w:rsidR="00FF512E" w:rsidRPr="00FF512E" w:rsidRDefault="00FF512E" w:rsidP="00095598">
      <w:pPr>
        <w:jc w:val="both"/>
        <w:rPr>
          <w:sz w:val="36"/>
          <w:szCs w:val="36"/>
          <w:lang w:val="en-GB" w:eastAsia="en-US"/>
        </w:rPr>
      </w:pPr>
      <w:r w:rsidRPr="00095598">
        <w:rPr>
          <w:sz w:val="36"/>
          <w:szCs w:val="36"/>
          <w:lang w:val="en-GB" w:eastAsia="en-US"/>
        </w:rPr>
        <w:t xml:space="preserve">6.1. </w:t>
      </w:r>
      <w:r w:rsidRPr="00095598">
        <w:rPr>
          <w:sz w:val="36"/>
          <w:szCs w:val="36"/>
          <w:lang w:val="en-GB" w:eastAsia="en-US"/>
        </w:rPr>
        <w:tab/>
        <w:t>UNIDIRECTIONAL</w:t>
      </w:r>
    </w:p>
    <w:p w14:paraId="43C7B99B" w14:textId="77777777" w:rsidR="00FF512E" w:rsidRPr="00FF512E" w:rsidRDefault="00FF512E" w:rsidP="00095598">
      <w:pPr>
        <w:jc w:val="both"/>
        <w:rPr>
          <w:sz w:val="36"/>
          <w:szCs w:val="36"/>
          <w:lang w:val="en-GB" w:eastAsia="en-US"/>
        </w:rPr>
      </w:pPr>
    </w:p>
    <w:p w14:paraId="602849D2"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receives information from other(s) blockchains (PDLs or not) to update their status (i.e. An oracle blockchain pushing information to a PDL)</w:t>
      </w:r>
    </w:p>
    <w:p w14:paraId="04A4E751"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sends information to others blockchain (PDLs or not) (i.e. A PDL updates the status of a delivery to vendor/procurement PDLs)</w:t>
      </w:r>
    </w:p>
    <w:p w14:paraId="454AC2BA" w14:textId="77777777" w:rsidR="00FF512E" w:rsidRPr="00FF512E" w:rsidRDefault="00FF512E" w:rsidP="00095598">
      <w:pPr>
        <w:jc w:val="both"/>
        <w:rPr>
          <w:sz w:val="36"/>
          <w:szCs w:val="36"/>
          <w:lang w:val="en-GB" w:eastAsia="en-US"/>
        </w:rPr>
      </w:pPr>
    </w:p>
    <w:p w14:paraId="601D2B2A" w14:textId="77777777" w:rsidR="00FF512E" w:rsidRPr="00FF512E" w:rsidRDefault="00FF512E" w:rsidP="00FF512E">
      <w:pPr>
        <w:pStyle w:val="Ttulo1"/>
        <w:ind w:left="0" w:firstLine="0"/>
        <w:jc w:val="both"/>
        <w:rPr>
          <w:rFonts w:ascii="Times New Roman" w:hAnsi="Times New Roman"/>
        </w:rPr>
      </w:pPr>
      <w:r w:rsidRPr="00FF512E">
        <w:rPr>
          <w:rFonts w:ascii="Times New Roman" w:hAnsi="Times New Roman"/>
          <w:noProof/>
          <w:lang w:val="en-US"/>
        </w:rPr>
        <w:drawing>
          <wp:inline distT="0" distB="0" distL="0" distR="0" wp14:anchorId="6AA38296" wp14:editId="1DD5AAE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120765" cy="3442970"/>
                    </a:xfrm>
                    <a:prstGeom prst="rect">
                      <a:avLst/>
                    </a:prstGeom>
                  </pic:spPr>
                </pic:pic>
              </a:graphicData>
            </a:graphic>
          </wp:inline>
        </w:drawing>
      </w:r>
    </w:p>
    <w:p w14:paraId="5A0DE30A" w14:textId="77777777" w:rsidR="00FF512E" w:rsidRPr="00FF512E" w:rsidRDefault="00FF512E" w:rsidP="00095598">
      <w:pPr>
        <w:ind w:left="1136" w:firstLine="284"/>
        <w:jc w:val="both"/>
        <w:rPr>
          <w:lang w:val="en-GB" w:eastAsia="en-US"/>
        </w:rPr>
      </w:pPr>
      <w:r w:rsidRPr="00FF512E">
        <w:rPr>
          <w:lang w:val="en-GB" w:eastAsia="en-US"/>
        </w:rPr>
        <w:t>Figure 2 EXAMPLE ONE OF INTER-LEDGER INTEROPERABILITY</w:t>
      </w:r>
    </w:p>
    <w:p w14:paraId="61CBEF57" w14:textId="77777777" w:rsidR="00FF512E" w:rsidRPr="001A4C40" w:rsidRDefault="00FF512E" w:rsidP="00095598">
      <w:pPr>
        <w:jc w:val="both"/>
        <w:rPr>
          <w:lang w:val="en-GB" w:eastAsia="en-US"/>
        </w:rPr>
      </w:pPr>
    </w:p>
    <w:p w14:paraId="67A9CE58" w14:textId="77777777" w:rsidR="00FF512E" w:rsidRPr="001A4C40" w:rsidRDefault="00FF512E" w:rsidP="00095598">
      <w:pPr>
        <w:jc w:val="both"/>
        <w:rPr>
          <w:lang w:val="en-GB" w:eastAsia="en-US"/>
        </w:rPr>
      </w:pPr>
    </w:p>
    <w:p w14:paraId="785DFBD4" w14:textId="77777777" w:rsidR="00FF512E" w:rsidRPr="00FF512E" w:rsidRDefault="00FF512E" w:rsidP="00FF512E">
      <w:pPr>
        <w:jc w:val="both"/>
        <w:rPr>
          <w:color w:val="FF0000"/>
          <w:lang w:val="en-GB" w:eastAsia="en-US"/>
        </w:rPr>
      </w:pPr>
      <w:r w:rsidRPr="001A4C40">
        <w:rPr>
          <w:color w:val="000000" w:themeColor="text1"/>
          <w:lang w:val="en-GB" w:eastAsia="en-US"/>
        </w:rPr>
        <w:t>In this basic scenario there are two ledgers whereby interoperate between them, one PDL is exchanging information with other PDL to mutually use such information in a perfected interest. As per the figure 2, the two led</w:t>
      </w:r>
      <w:r w:rsidRPr="00FF512E">
        <w:rPr>
          <w:color w:val="000000" w:themeColor="text1"/>
          <w:lang w:val="en-GB" w:eastAsia="en-US"/>
        </w:rPr>
        <w:t>gers represent two different PDL which make via Gateway or API  an interoperability approach, but there are a variety of approaches. Independent ledgers into a same scenario can approach from a key parameters which are recommended to be in every ledger</w:t>
      </w:r>
      <w:r w:rsidRPr="00FF512E">
        <w:rPr>
          <w:color w:val="FF0000"/>
          <w:lang w:val="en-GB" w:eastAsia="en-US"/>
        </w:rPr>
        <w:t>.</w:t>
      </w:r>
    </w:p>
    <w:p w14:paraId="4892E981" w14:textId="77777777" w:rsidR="00FF512E" w:rsidRPr="00FF512E" w:rsidRDefault="00FF512E" w:rsidP="00FF512E">
      <w:pPr>
        <w:jc w:val="both"/>
        <w:rPr>
          <w:color w:val="FF0000"/>
          <w:lang w:val="en-GB" w:eastAsia="en-US"/>
        </w:rPr>
      </w:pPr>
    </w:p>
    <w:p w14:paraId="4714CC82" w14:textId="77777777" w:rsidR="00FF512E" w:rsidRPr="00FF512E" w:rsidRDefault="00FF512E" w:rsidP="00095598">
      <w:pPr>
        <w:jc w:val="both"/>
        <w:rPr>
          <w:lang w:val="en-GB" w:eastAsia="en-US"/>
        </w:rPr>
      </w:pPr>
      <w:r w:rsidRPr="00FF512E">
        <w:rPr>
          <w:lang w:val="en-GB" w:eastAsia="en-US"/>
        </w:rPr>
        <w:t>When one PDL takes information from another PDL or an external data source following considerations are recommended:</w:t>
      </w:r>
    </w:p>
    <w:p w14:paraId="03F67E7B" w14:textId="77777777" w:rsidR="00FF512E" w:rsidRPr="00FF512E" w:rsidRDefault="00FF512E" w:rsidP="00095598">
      <w:pPr>
        <w:pStyle w:val="Prrafodelista"/>
        <w:numPr>
          <w:ilvl w:val="3"/>
          <w:numId w:val="4"/>
        </w:numPr>
        <w:jc w:val="both"/>
      </w:pPr>
      <w:r w:rsidRPr="00FF512E">
        <w:t>Data Integrity – data feed to the ledger must be authenticated, guarantee from the source may be attached to prove the integrity of the data</w:t>
      </w:r>
    </w:p>
    <w:p w14:paraId="225EF3B3" w14:textId="77777777" w:rsidR="00FF512E" w:rsidRPr="00FF512E" w:rsidRDefault="00FF512E" w:rsidP="00095598">
      <w:pPr>
        <w:pStyle w:val="Prrafodelista"/>
        <w:numPr>
          <w:ilvl w:val="3"/>
          <w:numId w:val="4"/>
        </w:numPr>
        <w:jc w:val="both"/>
      </w:pPr>
      <w:r w:rsidRPr="00FF512E">
        <w:t>Data Security – ensure the prevention of attacks such as eavesdropping and main-in-the-middle attack.</w:t>
      </w:r>
    </w:p>
    <w:p w14:paraId="2FB7EAA7" w14:textId="77777777" w:rsidR="00FF512E" w:rsidRPr="00FF512E" w:rsidRDefault="00FF512E" w:rsidP="00095598">
      <w:pPr>
        <w:pStyle w:val="Prrafodelista"/>
        <w:numPr>
          <w:ilvl w:val="3"/>
          <w:numId w:val="4"/>
        </w:numPr>
        <w:jc w:val="both"/>
      </w:pPr>
      <w:r w:rsidRPr="00FF512E">
        <w:t>Data format – ensure the data is in the format compatible to the PDL.</w:t>
      </w:r>
    </w:p>
    <w:p w14:paraId="3DB1CD3A" w14:textId="77777777" w:rsidR="00FF512E" w:rsidRPr="00FF512E" w:rsidRDefault="00FF512E" w:rsidP="00095598">
      <w:pPr>
        <w:pStyle w:val="Ttulo3"/>
        <w:jc w:val="both"/>
        <w:rPr>
          <w:rFonts w:ascii="Times New Roman" w:hAnsi="Times New Roman"/>
        </w:rPr>
      </w:pPr>
      <w:r w:rsidRPr="00095598">
        <w:rPr>
          <w:rFonts w:ascii="Times New Roman" w:hAnsi="Times New Roman"/>
          <w:sz w:val="24"/>
          <w:szCs w:val="24"/>
        </w:rPr>
        <w:lastRenderedPageBreak/>
        <w:t>Data Integrity:</w:t>
      </w:r>
    </w:p>
    <w:p w14:paraId="691B0BA0" w14:textId="77777777" w:rsidR="00FF512E" w:rsidRPr="00FF512E" w:rsidRDefault="00FF512E" w:rsidP="00095598">
      <w:pPr>
        <w:pStyle w:val="NormalWeb"/>
        <w:jc w:val="both"/>
        <w:rPr>
          <w:color w:val="0E101A"/>
          <w:lang w:eastAsia="en-GB"/>
        </w:rPr>
      </w:pPr>
      <w:r w:rsidRPr="00FF512E">
        <w:rPr>
          <w:color w:val="0E101A"/>
        </w:rPr>
        <w:t>When data is fed to the PDL, it is written to the PDL for eternity. Hence its integrity and authenticity is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4D99E5FF" w14:textId="77777777" w:rsidR="00FF512E" w:rsidRPr="00FF512E" w:rsidRDefault="00FF512E" w:rsidP="00095598">
      <w:pPr>
        <w:pStyle w:val="NormalWeb"/>
        <w:jc w:val="both"/>
        <w:rPr>
          <w:color w:val="0E101A"/>
        </w:rPr>
      </w:pPr>
    </w:p>
    <w:p w14:paraId="24193E8E" w14:textId="77777777" w:rsidR="00FF512E" w:rsidRPr="00FF512E" w:rsidRDefault="00FF512E" w:rsidP="00095598">
      <w:pPr>
        <w:pStyle w:val="Ttulo3"/>
        <w:spacing w:before="0" w:after="0"/>
        <w:jc w:val="both"/>
        <w:rPr>
          <w:rFonts w:ascii="Times New Roman" w:hAnsi="Times New Roman"/>
          <w:color w:val="0E101A"/>
        </w:rPr>
      </w:pPr>
      <w:r w:rsidRPr="00095598">
        <w:rPr>
          <w:rFonts w:ascii="Times New Roman" w:hAnsi="Times New Roman"/>
          <w:color w:val="0E101A"/>
          <w:sz w:val="24"/>
          <w:szCs w:val="24"/>
        </w:rPr>
        <w:t>Data Security:</w:t>
      </w:r>
    </w:p>
    <w:p w14:paraId="77819C08" w14:textId="77777777" w:rsidR="00FF512E" w:rsidRPr="00FF512E" w:rsidRDefault="00FF512E" w:rsidP="00095598">
      <w:pPr>
        <w:pStyle w:val="NormalWeb"/>
        <w:jc w:val="both"/>
        <w:rPr>
          <w:color w:val="0E101A"/>
        </w:rPr>
      </w:pPr>
      <w:r w:rsidRPr="00FF512E">
        <w:rPr>
          <w:color w:val="0E101A"/>
        </w:rPr>
        <w:t>The data entered in a PDL must be secured from cyber attacks such as man-in-the-middle attack and eavesdropping. For example, if a bid is placed by a PDL and to another PDL, it is essential to secure such information exchange.</w:t>
      </w:r>
    </w:p>
    <w:p w14:paraId="424BE5ED" w14:textId="77777777" w:rsidR="00FF512E" w:rsidRPr="00FF512E" w:rsidRDefault="00FF512E" w:rsidP="00095598">
      <w:pPr>
        <w:pStyle w:val="NormalWeb"/>
        <w:jc w:val="both"/>
        <w:rPr>
          <w:color w:val="0E101A"/>
        </w:rPr>
      </w:pPr>
    </w:p>
    <w:p w14:paraId="74C09B39" w14:textId="77777777" w:rsidR="00FF512E" w:rsidRPr="00FF512E" w:rsidRDefault="00FF512E" w:rsidP="00095598">
      <w:pPr>
        <w:pStyle w:val="NormalWeb"/>
        <w:jc w:val="both"/>
        <w:rPr>
          <w:color w:val="0E101A"/>
        </w:rPr>
      </w:pPr>
      <w:r w:rsidRPr="00FF512E">
        <w:rPr>
          <w:color w:val="0E101A"/>
        </w:rPr>
        <w:t>Data Format:</w:t>
      </w:r>
    </w:p>
    <w:p w14:paraId="1C0FC9A7" w14:textId="77777777" w:rsidR="00FF512E" w:rsidRPr="00FF512E" w:rsidRDefault="00FF512E" w:rsidP="00095598">
      <w:pPr>
        <w:pStyle w:val="NormalWeb"/>
        <w:jc w:val="both"/>
        <w:rPr>
          <w:color w:val="0E101A"/>
        </w:rPr>
      </w:pPr>
      <w:r w:rsidRPr="00FF512E">
        <w:rPr>
          <w:color w:val="0E101A"/>
        </w:rPr>
        <w:t>Two ledgers must understand each other, that is to say, that Data exchange between a PDL and another PDL or storage follow a compatible format. Following a standard format for PDL may also help with automated chained executions of the contracts where several Smart Contracts are involved in a chained execution process.</w:t>
      </w:r>
    </w:p>
    <w:p w14:paraId="24B7CD88" w14:textId="77777777" w:rsidR="00FF512E" w:rsidRPr="00FF512E" w:rsidRDefault="00FF512E" w:rsidP="00095598">
      <w:pPr>
        <w:pStyle w:val="NormalWeb"/>
        <w:jc w:val="both"/>
        <w:rPr>
          <w:color w:val="0E101A"/>
        </w:rPr>
      </w:pPr>
    </w:p>
    <w:p w14:paraId="3A54A749" w14:textId="77777777" w:rsidR="00FF512E" w:rsidRPr="00FF512E" w:rsidRDefault="00FF512E" w:rsidP="00095598">
      <w:pPr>
        <w:pStyle w:val="Ttulo3"/>
        <w:jc w:val="both"/>
        <w:rPr>
          <w:rFonts w:ascii="Times New Roman" w:hAnsi="Times New Roman"/>
        </w:rPr>
      </w:pPr>
      <w:r w:rsidRPr="00FF512E">
        <w:rPr>
          <w:rFonts w:ascii="Times New Roman" w:hAnsi="Times New Roman"/>
        </w:rPr>
        <w:t>Standard Fields for PDL Interoperability:</w:t>
      </w:r>
    </w:p>
    <w:p w14:paraId="5CA25CEE" w14:textId="77777777" w:rsidR="00FF512E" w:rsidRPr="00FF512E" w:rsidRDefault="00FF512E" w:rsidP="00095598">
      <w:pPr>
        <w:pStyle w:val="NormalWeb"/>
        <w:jc w:val="both"/>
        <w:rPr>
          <w:color w:val="0E101A"/>
        </w:rPr>
      </w:pPr>
    </w:p>
    <w:p w14:paraId="5BD40641" w14:textId="77777777" w:rsidR="00FF512E" w:rsidRPr="00FF512E" w:rsidRDefault="00FF512E" w:rsidP="00095598">
      <w:pPr>
        <w:pStyle w:val="NormalWeb"/>
        <w:jc w:val="both"/>
        <w:rPr>
          <w:color w:val="0E101A"/>
        </w:rPr>
      </w:pPr>
      <w:r w:rsidRPr="00FF512E">
        <w:rPr>
          <w:color w:val="0E101A"/>
        </w:rPr>
        <w:t>When interoperating between a PDL and another PDL (unidirectionally), following fields may be considered as essential.</w:t>
      </w:r>
    </w:p>
    <w:p w14:paraId="7000C5C0" w14:textId="77777777" w:rsidR="00FF512E" w:rsidRPr="00FF512E" w:rsidRDefault="00FF512E" w:rsidP="00095598">
      <w:pPr>
        <w:pStyle w:val="NormalWeb"/>
        <w:jc w:val="both"/>
        <w:rPr>
          <w:color w:val="0E101A"/>
        </w:rPr>
      </w:pPr>
      <w:r w:rsidRPr="00FF512E">
        <w:rPr>
          <w:color w:val="0E101A"/>
        </w:rPr>
        <w:t xml:space="preserve"> </w:t>
      </w:r>
    </w:p>
    <w:p w14:paraId="68AF444B" w14:textId="77777777" w:rsidR="00FF512E" w:rsidRPr="00FF512E" w:rsidRDefault="00FF512E" w:rsidP="00095598">
      <w:pPr>
        <w:pStyle w:val="NormalWeb"/>
        <w:numPr>
          <w:ilvl w:val="0"/>
          <w:numId w:val="9"/>
        </w:numPr>
        <w:spacing w:after="0"/>
        <w:jc w:val="both"/>
        <w:rPr>
          <w:color w:val="0E101A"/>
        </w:rPr>
      </w:pPr>
      <w:r w:rsidRPr="00FF512E">
        <w:rPr>
          <w:b/>
          <w:bCs/>
          <w:color w:val="0E101A"/>
        </w:rPr>
        <w:t>PDL Identifier:</w:t>
      </w:r>
      <w:r w:rsidRPr="00FF512E">
        <w:rPr>
          <w:color w:val="0E101A"/>
        </w:rPr>
        <w:t xml:space="preserve"> Every PDL should have an Identifier – this will help in recording the identity of the ledger in the Gateway (see next section).</w:t>
      </w:r>
    </w:p>
    <w:p w14:paraId="26DBE0AB" w14:textId="77777777" w:rsidR="00FF512E" w:rsidRPr="00FF512E" w:rsidRDefault="00FF512E" w:rsidP="00095598">
      <w:pPr>
        <w:pStyle w:val="NormalWeb"/>
        <w:numPr>
          <w:ilvl w:val="0"/>
          <w:numId w:val="9"/>
        </w:numPr>
        <w:spacing w:after="0"/>
        <w:jc w:val="both"/>
        <w:rPr>
          <w:color w:val="0E101A"/>
        </w:rPr>
      </w:pPr>
      <w:r w:rsidRPr="00FF512E">
        <w:rPr>
          <w:b/>
          <w:bCs/>
          <w:color w:val="0E101A"/>
        </w:rPr>
        <w:t>Node Identifier:</w:t>
      </w:r>
      <w:r w:rsidRPr="00FF512E">
        <w:rPr>
          <w:color w:val="0E101A"/>
        </w:rPr>
        <w:t xml:space="preserve"> A unique Node Identifier corresponding to their PDL. For example a PDL Identifier XY can have a Node with Identifier XY123.</w:t>
      </w:r>
    </w:p>
    <w:p w14:paraId="5C46B76B" w14:textId="77777777" w:rsidR="00FF512E" w:rsidRPr="00FF512E" w:rsidRDefault="00FF512E" w:rsidP="00095598">
      <w:pPr>
        <w:pStyle w:val="NormalWeb"/>
        <w:numPr>
          <w:ilvl w:val="0"/>
          <w:numId w:val="9"/>
        </w:numPr>
        <w:spacing w:after="0"/>
        <w:jc w:val="both"/>
        <w:rPr>
          <w:b/>
          <w:bCs/>
          <w:color w:val="0E101A"/>
        </w:rPr>
      </w:pPr>
      <w:r w:rsidRPr="00FF512E">
        <w:rPr>
          <w:b/>
          <w:bCs/>
          <w:color w:val="0E101A"/>
        </w:rPr>
        <w:t xml:space="preserve">Shareable Data Fields: </w:t>
      </w:r>
      <w:r w:rsidRPr="00FF512E">
        <w:rPr>
          <w:color w:val="0E101A"/>
        </w:rPr>
        <w:t>Every PDL, when they want to share their data in future should specify the fields to the Gateway and the fields, they don’t intend to be share may not be revealed to the Gateway at all for security reasons.</w:t>
      </w:r>
    </w:p>
    <w:p w14:paraId="1FF75FA9" w14:textId="77777777" w:rsidR="00FF512E" w:rsidRPr="00FF512E" w:rsidRDefault="00FF512E" w:rsidP="00095598">
      <w:pPr>
        <w:pStyle w:val="NormalWeb"/>
        <w:ind w:left="360"/>
        <w:jc w:val="both"/>
        <w:rPr>
          <w:b/>
          <w:bCs/>
          <w:color w:val="0E101A"/>
        </w:rPr>
      </w:pPr>
    </w:p>
    <w:p w14:paraId="701D9D6D" w14:textId="77777777" w:rsidR="00FF512E" w:rsidRPr="00FF512E" w:rsidRDefault="00FF512E" w:rsidP="00095598">
      <w:pPr>
        <w:pStyle w:val="NormalWeb"/>
        <w:jc w:val="both"/>
        <w:rPr>
          <w:color w:val="0E101A"/>
        </w:rPr>
      </w:pPr>
    </w:p>
    <w:p w14:paraId="3B2D3FEE" w14:textId="77777777" w:rsidR="00FF512E" w:rsidRPr="00FF512E" w:rsidRDefault="00FF512E" w:rsidP="00095598">
      <w:pPr>
        <w:pStyle w:val="NormalWeb"/>
        <w:jc w:val="both"/>
        <w:rPr>
          <w:color w:val="0E101A"/>
        </w:rPr>
      </w:pPr>
      <w:r w:rsidRPr="00FF512E">
        <w:rPr>
          <w:color w:val="0E101A"/>
        </w:rPr>
        <w:t>Referenced architecture for Unidirectional PDL access:</w:t>
      </w:r>
    </w:p>
    <w:p w14:paraId="51FA6580" w14:textId="77777777" w:rsidR="00FF512E" w:rsidRPr="00FF512E" w:rsidRDefault="00FF512E" w:rsidP="00095598">
      <w:pPr>
        <w:pStyle w:val="NormalWeb"/>
        <w:jc w:val="both"/>
        <w:rPr>
          <w:color w:val="0E101A"/>
        </w:rPr>
      </w:pPr>
    </w:p>
    <w:p w14:paraId="0E14C9C0" w14:textId="77777777" w:rsidR="00FF512E" w:rsidRPr="00FF512E" w:rsidRDefault="00FF512E" w:rsidP="00095598">
      <w:pPr>
        <w:pStyle w:val="NormalWeb"/>
        <w:numPr>
          <w:ilvl w:val="0"/>
          <w:numId w:val="10"/>
        </w:numPr>
        <w:spacing w:after="0"/>
        <w:jc w:val="both"/>
        <w:rPr>
          <w:color w:val="0E101A"/>
        </w:rPr>
      </w:pPr>
      <w:r w:rsidRPr="00FF512E">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4E8C93F4" w14:textId="77777777" w:rsidR="00FF512E" w:rsidRPr="00FF512E" w:rsidRDefault="00FF512E" w:rsidP="00095598">
      <w:pPr>
        <w:pStyle w:val="NormalWeb"/>
        <w:numPr>
          <w:ilvl w:val="0"/>
          <w:numId w:val="10"/>
        </w:numPr>
        <w:spacing w:after="0"/>
        <w:jc w:val="both"/>
        <w:rPr>
          <w:color w:val="0E101A"/>
        </w:rPr>
      </w:pPr>
      <w:r w:rsidRPr="00FF512E">
        <w:rPr>
          <w:color w:val="0E101A"/>
        </w:rPr>
        <w:lastRenderedPageBreak/>
        <w:t>The PDL requesting for data may include following details in the request:</w:t>
      </w:r>
    </w:p>
    <w:p w14:paraId="0214E33E" w14:textId="77777777" w:rsidR="00FF512E" w:rsidRPr="00FF512E" w:rsidRDefault="00FF512E" w:rsidP="00095598">
      <w:pPr>
        <w:pStyle w:val="NormalWeb"/>
        <w:numPr>
          <w:ilvl w:val="1"/>
          <w:numId w:val="10"/>
        </w:numPr>
        <w:spacing w:after="0"/>
        <w:jc w:val="both"/>
        <w:rPr>
          <w:color w:val="0E101A"/>
        </w:rPr>
      </w:pPr>
      <w:r w:rsidRPr="00FF512E">
        <w:rPr>
          <w:color w:val="0E101A"/>
        </w:rPr>
        <w:t>Its own (PDL) Identity; may be public key</w:t>
      </w:r>
    </w:p>
    <w:p w14:paraId="765E6EB4" w14:textId="77777777" w:rsidR="00FF512E" w:rsidRPr="00FF512E" w:rsidRDefault="00FF512E" w:rsidP="00095598">
      <w:pPr>
        <w:pStyle w:val="NormalWeb"/>
        <w:numPr>
          <w:ilvl w:val="1"/>
          <w:numId w:val="10"/>
        </w:numPr>
        <w:spacing w:after="0"/>
        <w:jc w:val="both"/>
        <w:rPr>
          <w:color w:val="0E101A"/>
        </w:rPr>
      </w:pPr>
      <w:r w:rsidRPr="00FF512E">
        <w:rPr>
          <w:color w:val="0E101A"/>
        </w:rPr>
        <w:t>PDL Identity they are requesting data from</w:t>
      </w:r>
    </w:p>
    <w:p w14:paraId="1FC9DD8A" w14:textId="77777777" w:rsidR="00FF512E" w:rsidRPr="00FF512E" w:rsidRDefault="00FF512E" w:rsidP="00095598">
      <w:pPr>
        <w:pStyle w:val="NormalWeb"/>
        <w:numPr>
          <w:ilvl w:val="1"/>
          <w:numId w:val="10"/>
        </w:numPr>
        <w:spacing w:after="0"/>
        <w:jc w:val="both"/>
        <w:rPr>
          <w:color w:val="0E101A"/>
        </w:rPr>
      </w:pPr>
      <w:r w:rsidRPr="00FF512E">
        <w:rPr>
          <w:color w:val="0E101A"/>
        </w:rPr>
        <w:t>Data fields they require</w:t>
      </w:r>
    </w:p>
    <w:p w14:paraId="1E44C223" w14:textId="77777777" w:rsidR="00FF512E" w:rsidRPr="00FF512E" w:rsidRDefault="00FF512E" w:rsidP="00095598">
      <w:pPr>
        <w:pStyle w:val="NormalWeb"/>
        <w:numPr>
          <w:ilvl w:val="1"/>
          <w:numId w:val="10"/>
        </w:numPr>
        <w:spacing w:after="0"/>
        <w:jc w:val="both"/>
        <w:rPr>
          <w:color w:val="0E101A"/>
        </w:rPr>
      </w:pPr>
      <w:r w:rsidRPr="00FF512E">
        <w:rPr>
          <w:color w:val="0E101A"/>
        </w:rPr>
        <w:t>Duration for which need access</w:t>
      </w:r>
    </w:p>
    <w:p w14:paraId="4ED88BBC" w14:textId="77777777" w:rsidR="00FF512E" w:rsidRPr="00FF512E" w:rsidRDefault="00FF512E" w:rsidP="00095598">
      <w:pPr>
        <w:pStyle w:val="NormalWeb"/>
        <w:numPr>
          <w:ilvl w:val="0"/>
          <w:numId w:val="10"/>
        </w:numPr>
        <w:spacing w:after="0"/>
        <w:jc w:val="both"/>
        <w:rPr>
          <w:color w:val="0E101A"/>
        </w:rPr>
      </w:pPr>
      <w:r w:rsidRPr="00FF512E">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p>
    <w:p w14:paraId="64758F06" w14:textId="77777777" w:rsidR="00FF512E" w:rsidRPr="00FF512E" w:rsidRDefault="00FF512E" w:rsidP="00095598">
      <w:pPr>
        <w:pStyle w:val="NormalWeb"/>
        <w:ind w:left="720"/>
        <w:jc w:val="both"/>
        <w:rPr>
          <w:color w:val="0E101A"/>
        </w:rPr>
      </w:pPr>
      <w:r w:rsidRPr="00FF512E">
        <w:rPr>
          <w:color w:val="0E101A"/>
        </w:rPr>
        <w:t>NOTE: A Smart Contract will execute in both the cases (accepting or rejecting) the data request to keep record of all the requests.</w:t>
      </w:r>
    </w:p>
    <w:p w14:paraId="0CFCD052" w14:textId="77777777" w:rsidR="00FF512E" w:rsidRPr="00FF512E" w:rsidRDefault="00FF512E" w:rsidP="00095598">
      <w:pPr>
        <w:pStyle w:val="NormalWeb"/>
        <w:numPr>
          <w:ilvl w:val="0"/>
          <w:numId w:val="10"/>
        </w:numPr>
        <w:spacing w:after="0"/>
        <w:jc w:val="both"/>
        <w:rPr>
          <w:color w:val="0E101A"/>
        </w:rPr>
      </w:pPr>
      <w:r w:rsidRPr="00FF512E">
        <w:rPr>
          <w:color w:val="0E101A"/>
        </w:rPr>
        <w:t>Using the keys PDL1 and access record from PDL2.</w:t>
      </w:r>
    </w:p>
    <w:p w14:paraId="59D085EC" w14:textId="77777777" w:rsidR="00FF512E" w:rsidRPr="00FF512E" w:rsidRDefault="00FF512E" w:rsidP="00095598">
      <w:pPr>
        <w:pStyle w:val="NormalWeb"/>
        <w:jc w:val="both"/>
        <w:rPr>
          <w:color w:val="0E101A"/>
        </w:rPr>
      </w:pPr>
    </w:p>
    <w:p w14:paraId="2FAE880D" w14:textId="77777777" w:rsidR="00FF512E" w:rsidRPr="00FF512E" w:rsidRDefault="00FF512E" w:rsidP="00095598">
      <w:pPr>
        <w:pStyle w:val="NormalWeb"/>
        <w:jc w:val="both"/>
        <w:rPr>
          <w:color w:val="0E101A"/>
        </w:rPr>
      </w:pPr>
    </w:p>
    <w:p w14:paraId="55A621FA" w14:textId="77777777" w:rsidR="00FF512E" w:rsidRPr="00FF512E" w:rsidRDefault="00FF512E" w:rsidP="00095598">
      <w:pPr>
        <w:pStyle w:val="NormalWeb"/>
        <w:jc w:val="both"/>
        <w:rPr>
          <w:color w:val="0E101A"/>
        </w:rPr>
      </w:pPr>
    </w:p>
    <w:p w14:paraId="61726A0E" w14:textId="77777777" w:rsidR="00FF512E" w:rsidRPr="00FF512E" w:rsidRDefault="00FF512E" w:rsidP="00095598">
      <w:pPr>
        <w:pStyle w:val="NormalWeb"/>
        <w:jc w:val="both"/>
        <w:rPr>
          <w:color w:val="0E101A"/>
        </w:rPr>
      </w:pPr>
      <w:r w:rsidRPr="00FF512E">
        <w:rPr>
          <w:noProof/>
          <w:color w:val="0E101A"/>
          <w:lang w:val="en-US"/>
        </w:rPr>
        <w:drawing>
          <wp:inline distT="0" distB="0" distL="0" distR="0" wp14:anchorId="29095348" wp14:editId="65CCA6F4">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7D5B8D0C" w14:textId="77777777" w:rsidR="00FF512E" w:rsidRPr="00FF512E" w:rsidRDefault="00FF512E" w:rsidP="00095598">
      <w:pPr>
        <w:pStyle w:val="NormalWeb"/>
        <w:jc w:val="both"/>
        <w:rPr>
          <w:color w:val="0E101A"/>
        </w:rPr>
      </w:pPr>
      <w:r w:rsidRPr="00FF512E">
        <w:rPr>
          <w:color w:val="0E101A"/>
        </w:rPr>
        <w:t xml:space="preserve">                                  Figure 3: example with simple scenario of interoperability between two PDL (faster procedure).</w:t>
      </w:r>
    </w:p>
    <w:p w14:paraId="3C3F1021" w14:textId="77777777" w:rsidR="00FF512E" w:rsidRPr="00FF512E" w:rsidRDefault="00FF512E" w:rsidP="00095598">
      <w:pPr>
        <w:pStyle w:val="Ttulo3"/>
        <w:jc w:val="both"/>
        <w:rPr>
          <w:rFonts w:ascii="Times New Roman" w:hAnsi="Times New Roman"/>
          <w:color w:val="0E101A"/>
        </w:rPr>
      </w:pPr>
      <w:r w:rsidRPr="00FF512E">
        <w:rPr>
          <w:rFonts w:ascii="Times New Roman" w:hAnsi="Times New Roman"/>
          <w:color w:val="0E101A"/>
        </w:rPr>
        <w:t>Security Considerations:</w:t>
      </w:r>
    </w:p>
    <w:p w14:paraId="5A5A84C0" w14:textId="77777777" w:rsidR="00FF512E" w:rsidRPr="00FF512E" w:rsidRDefault="00FF512E" w:rsidP="00095598">
      <w:pPr>
        <w:jc w:val="both"/>
        <w:rPr>
          <w:lang w:val="en-GB" w:eastAsia="en-US"/>
        </w:rPr>
      </w:pPr>
      <w:r w:rsidRPr="00FF512E">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p>
    <w:p w14:paraId="5DA38D85" w14:textId="77777777" w:rsidR="00FF512E" w:rsidRPr="00FF512E" w:rsidRDefault="00FF512E" w:rsidP="00095598">
      <w:pPr>
        <w:jc w:val="both"/>
        <w:rPr>
          <w:lang w:val="en-GB" w:eastAsia="en-US"/>
        </w:rPr>
      </w:pPr>
    </w:p>
    <w:p w14:paraId="66790400" w14:textId="77777777" w:rsidR="00FF512E" w:rsidRPr="00FF512E" w:rsidRDefault="00FF512E" w:rsidP="00095598">
      <w:pPr>
        <w:jc w:val="both"/>
        <w:rPr>
          <w:lang w:val="en-GB" w:eastAsia="en-US"/>
        </w:rPr>
      </w:pPr>
      <w:r w:rsidRPr="00FF512E">
        <w:rPr>
          <w:lang w:val="en-GB" w:eastAsia="en-US"/>
        </w:rPr>
        <w:t xml:space="preserve">The solution (Next Figure) can be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 </w:t>
      </w:r>
    </w:p>
    <w:p w14:paraId="4B9B684A" w14:textId="77777777" w:rsidR="00FF512E" w:rsidRPr="00FF512E" w:rsidRDefault="00FF512E" w:rsidP="00095598">
      <w:pPr>
        <w:jc w:val="both"/>
      </w:pPr>
      <w:r w:rsidRPr="00FF512E">
        <w:rPr>
          <w:noProof/>
          <w:lang w:val="en-US" w:eastAsia="en-US"/>
        </w:rPr>
        <w:lastRenderedPageBreak/>
        <w:drawing>
          <wp:inline distT="0" distB="0" distL="0" distR="0" wp14:anchorId="772DC883" wp14:editId="32723CAE">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23FCB521" w14:textId="77777777" w:rsidR="00FF512E" w:rsidRPr="00FF512E" w:rsidRDefault="00FF512E" w:rsidP="00FF512E">
      <w:pPr>
        <w:jc w:val="both"/>
        <w:rPr>
          <w:color w:val="000000" w:themeColor="text1"/>
          <w:lang w:val="en-GB" w:eastAsia="en-US"/>
        </w:rPr>
      </w:pPr>
      <w:r w:rsidRPr="00FF512E">
        <w:rPr>
          <w:color w:val="FF0000"/>
          <w:lang w:val="en-GB" w:eastAsia="en-US"/>
        </w:rPr>
        <w:tab/>
      </w:r>
      <w:r w:rsidRPr="00FF512E">
        <w:rPr>
          <w:color w:val="FF0000"/>
          <w:lang w:val="en-GB" w:eastAsia="en-US"/>
        </w:rPr>
        <w:tab/>
      </w:r>
      <w:r w:rsidRPr="00FF512E">
        <w:rPr>
          <w:color w:val="000000" w:themeColor="text1"/>
          <w:lang w:val="en-GB" w:eastAsia="en-US"/>
        </w:rPr>
        <w:t>Figure 4: example secured interoperability between 2 PDL (Live verification)</w:t>
      </w:r>
    </w:p>
    <w:p w14:paraId="30BD6916" w14:textId="77777777" w:rsidR="00FF512E" w:rsidRPr="00FF512E" w:rsidRDefault="00FF512E" w:rsidP="00095598">
      <w:pPr>
        <w:jc w:val="both"/>
        <w:rPr>
          <w:lang w:val="en-GB" w:eastAsia="en-US"/>
        </w:rPr>
      </w:pPr>
      <w:r w:rsidRPr="00FF512E">
        <w:rPr>
          <w:noProof/>
          <w:lang w:val="en-US" w:eastAsia="en-US"/>
        </w:rPr>
        <w:drawing>
          <wp:inline distT="0" distB="0" distL="0" distR="0" wp14:anchorId="638EB90C" wp14:editId="755DF964">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120765" cy="3442970"/>
                    </a:xfrm>
                    <a:prstGeom prst="rect">
                      <a:avLst/>
                    </a:prstGeom>
                  </pic:spPr>
                </pic:pic>
              </a:graphicData>
            </a:graphic>
          </wp:inline>
        </w:drawing>
      </w:r>
    </w:p>
    <w:p w14:paraId="6D755060" w14:textId="77777777" w:rsidR="00FF512E" w:rsidRPr="00FF512E" w:rsidRDefault="00FF512E" w:rsidP="00FF512E">
      <w:pPr>
        <w:ind w:left="1136" w:firstLine="284"/>
        <w:jc w:val="both"/>
        <w:rPr>
          <w:lang w:val="en-GB" w:eastAsia="en-US"/>
        </w:rPr>
      </w:pPr>
      <w:r w:rsidRPr="00FF512E">
        <w:rPr>
          <w:lang w:val="en-GB" w:eastAsia="en-US"/>
        </w:rPr>
        <w:t>Figure 5  EXAMPLE TWO OF INTER-LEDGER INTEROPERABILITY</w:t>
      </w:r>
    </w:p>
    <w:p w14:paraId="4899557B" w14:textId="77777777" w:rsidR="00FF512E" w:rsidRPr="00FF512E" w:rsidRDefault="00FF512E" w:rsidP="00095598">
      <w:pPr>
        <w:jc w:val="both"/>
        <w:rPr>
          <w:lang w:val="en-GB" w:eastAsia="en-US"/>
        </w:rPr>
      </w:pPr>
    </w:p>
    <w:p w14:paraId="3D712B06" w14:textId="77777777" w:rsidR="00FF512E" w:rsidRPr="00FF512E" w:rsidRDefault="00FF512E" w:rsidP="00095598">
      <w:pPr>
        <w:jc w:val="both"/>
        <w:rPr>
          <w:color w:val="FF0000"/>
          <w:lang w:val="en-GB" w:eastAsia="en-US"/>
        </w:rPr>
      </w:pPr>
      <w:r w:rsidRPr="00FF512E">
        <w:rPr>
          <w:lang w:val="en-GB" w:eastAsia="en-US"/>
        </w:rPr>
        <w:t xml:space="preserve">In this scenario there are three ledgers that consolidate a common ledger as part of one PDL. Hence inter-ledger interoperability can occur between ledgers within a same PDL or between various PDL. </w:t>
      </w:r>
    </w:p>
    <w:p w14:paraId="398C48C4" w14:textId="77777777" w:rsidR="00FF512E" w:rsidRPr="00FF512E" w:rsidRDefault="00FF512E" w:rsidP="00095598">
      <w:pPr>
        <w:jc w:val="both"/>
        <w:rPr>
          <w:color w:val="FF0000"/>
          <w:lang w:val="en-GB" w:eastAsia="en-US"/>
        </w:rPr>
      </w:pPr>
    </w:p>
    <w:p w14:paraId="55D05AE6" w14:textId="77777777" w:rsidR="00FF512E" w:rsidRPr="00FF512E" w:rsidRDefault="00FF512E" w:rsidP="00095598">
      <w:pPr>
        <w:jc w:val="both"/>
        <w:rPr>
          <w:color w:val="000000" w:themeColor="text1"/>
          <w:lang w:val="en-GB" w:eastAsia="en-US"/>
        </w:rPr>
      </w:pPr>
      <w:r w:rsidRPr="00FF512E">
        <w:rPr>
          <w:color w:val="000000" w:themeColor="text1"/>
          <w:lang w:val="en-GB" w:eastAsia="en-US"/>
        </w:rPr>
        <w:t>The architectural model may vary from the scenario but there are three common facets for the interledger interoperability which are unidirectional in the schema of the Figure 5:</w:t>
      </w:r>
    </w:p>
    <w:p w14:paraId="353BFF46" w14:textId="77777777" w:rsidR="00FF512E" w:rsidRPr="00FF512E" w:rsidRDefault="00FF512E" w:rsidP="00095598">
      <w:pPr>
        <w:jc w:val="both"/>
        <w:rPr>
          <w:color w:val="000000" w:themeColor="text1"/>
          <w:lang w:val="en-GB" w:eastAsia="en-US"/>
        </w:rPr>
      </w:pPr>
    </w:p>
    <w:p w14:paraId="59BCF27A" w14:textId="77777777" w:rsidR="00FF512E" w:rsidRPr="00FF512E" w:rsidRDefault="00FF512E" w:rsidP="00095598">
      <w:pPr>
        <w:pStyle w:val="Prrafodelista"/>
        <w:numPr>
          <w:ilvl w:val="0"/>
          <w:numId w:val="11"/>
        </w:numPr>
        <w:jc w:val="both"/>
        <w:rPr>
          <w:color w:val="000000" w:themeColor="text1"/>
          <w:sz w:val="24"/>
          <w:szCs w:val="24"/>
        </w:rPr>
      </w:pPr>
      <w:r w:rsidRPr="00FF512E">
        <w:rPr>
          <w:color w:val="000000" w:themeColor="text1"/>
          <w:sz w:val="24"/>
          <w:szCs w:val="24"/>
        </w:rPr>
        <w:t>INMUTABLE LEDGER; transaction record´s facet.</w:t>
      </w:r>
    </w:p>
    <w:p w14:paraId="40AF0830" w14:textId="77777777" w:rsidR="00FF512E" w:rsidRPr="00FF512E" w:rsidRDefault="00FF512E" w:rsidP="00095598">
      <w:pPr>
        <w:jc w:val="both"/>
        <w:rPr>
          <w:color w:val="000000" w:themeColor="text1"/>
          <w:lang w:val="en-US"/>
        </w:rPr>
      </w:pPr>
      <w:r w:rsidRPr="00FF512E">
        <w:rPr>
          <w:color w:val="000000" w:themeColor="text1"/>
          <w:lang w:val="en-US"/>
        </w:rPr>
        <w:t>It represents the transactions distributed ledger whereby the replication is unstoppable between all the nodes and consolidate the validation and represent the source of truth for the PDL.</w:t>
      </w:r>
    </w:p>
    <w:p w14:paraId="15D9F96C" w14:textId="77777777" w:rsidR="00FF512E" w:rsidRPr="00FF512E" w:rsidRDefault="00FF512E" w:rsidP="00FF512E">
      <w:pPr>
        <w:jc w:val="both"/>
        <w:rPr>
          <w:color w:val="000000" w:themeColor="text1"/>
          <w:lang w:val="en-US"/>
        </w:rPr>
      </w:pPr>
    </w:p>
    <w:p w14:paraId="664271DC"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SERVICES AND APLICATION LEDGER: Inter-ledger interoperability´s facet.</w:t>
      </w:r>
    </w:p>
    <w:p w14:paraId="1E16E5A8"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utilities and facilities that provide interoperability within the PDL between the different ledgers and it is normally composed of a minimal functional components such as Smart </w:t>
      </w:r>
      <w:r w:rsidRPr="00FF512E">
        <w:rPr>
          <w:color w:val="000000" w:themeColor="text1"/>
          <w:lang w:val="en-US"/>
        </w:rPr>
        <w:lastRenderedPageBreak/>
        <w:t xml:space="preserve">contracts and APIs that interact, usually, with a Gateway between ledgers in accordance with the particular performance. </w:t>
      </w:r>
    </w:p>
    <w:p w14:paraId="6F75249C" w14:textId="77777777" w:rsidR="00FF512E" w:rsidRPr="00FF512E" w:rsidRDefault="00FF512E" w:rsidP="00FF512E">
      <w:pPr>
        <w:jc w:val="both"/>
        <w:rPr>
          <w:color w:val="000000" w:themeColor="text1"/>
          <w:lang w:val="en-US"/>
        </w:rPr>
      </w:pPr>
    </w:p>
    <w:p w14:paraId="7C0A78EB"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USER´s Access Management: Behavioural´s facet</w:t>
      </w:r>
    </w:p>
    <w:p w14:paraId="38CDC024"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accessibility to consumers and users, and may vary between different architectural models whereby could be from different perspectives such as observing and reading the immutable ledger and/or using the services and application ledger. </w:t>
      </w:r>
    </w:p>
    <w:p w14:paraId="4850E6CA" w14:textId="77777777" w:rsidR="00FF512E" w:rsidRPr="00FF512E" w:rsidRDefault="00FF512E" w:rsidP="00FF512E">
      <w:pPr>
        <w:jc w:val="both"/>
        <w:rPr>
          <w:color w:val="000000" w:themeColor="text1"/>
          <w:lang w:val="en-US"/>
        </w:rPr>
      </w:pPr>
    </w:p>
    <w:p w14:paraId="62B2B8AF" w14:textId="77777777" w:rsidR="00FF512E" w:rsidRPr="00FF512E" w:rsidRDefault="00FF512E" w:rsidP="00FF512E">
      <w:pPr>
        <w:jc w:val="both"/>
        <w:rPr>
          <w:color w:val="000000" w:themeColor="text1"/>
          <w:lang w:val="en-US"/>
        </w:rPr>
      </w:pPr>
      <w:r w:rsidRPr="00FF512E">
        <w:rPr>
          <w:color w:val="000000" w:themeColor="text1"/>
          <w:lang w:val="en-US"/>
        </w:rPr>
        <w:t xml:space="preserve">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 </w:t>
      </w:r>
    </w:p>
    <w:p w14:paraId="7D640197" w14:textId="77777777" w:rsidR="00FF512E" w:rsidRPr="00FF512E" w:rsidRDefault="00FF512E" w:rsidP="00FF512E">
      <w:pPr>
        <w:jc w:val="both"/>
        <w:rPr>
          <w:color w:val="000000" w:themeColor="text1"/>
          <w:lang w:val="en-US"/>
        </w:rPr>
      </w:pPr>
    </w:p>
    <w:p w14:paraId="009DECE7" w14:textId="77777777" w:rsidR="00FF512E" w:rsidRPr="00FF512E" w:rsidRDefault="00FF512E" w:rsidP="00FF512E">
      <w:pPr>
        <w:jc w:val="both"/>
        <w:rPr>
          <w:color w:val="000000" w:themeColor="text1"/>
          <w:lang w:val="en-US"/>
        </w:rPr>
      </w:pPr>
      <w:r w:rsidRPr="00FF512E">
        <w:rPr>
          <w:color w:val="000000" w:themeColor="text1"/>
          <w:lang w:val="en-US"/>
        </w:rPr>
        <w:t xml:space="preserve">This scenario do usually provide oracles which are able to enhance the ledgers and contribute the performance between the services and application ledger with the immutability ledger for processes of verification and/or fraud detection by increasing the obliterability, which represents that the attributes of the PDL provides documentary completeness. </w:t>
      </w:r>
    </w:p>
    <w:p w14:paraId="459614E3" w14:textId="77777777" w:rsidR="00FF512E" w:rsidRPr="00FF512E" w:rsidRDefault="00FF512E" w:rsidP="00FF512E">
      <w:pPr>
        <w:jc w:val="both"/>
        <w:rPr>
          <w:lang w:val="en-GB" w:eastAsia="en-US"/>
        </w:rPr>
      </w:pPr>
    </w:p>
    <w:p w14:paraId="29AC206F" w14:textId="77777777" w:rsidR="00FF512E" w:rsidRPr="00FF512E" w:rsidRDefault="00FF512E" w:rsidP="00FF512E">
      <w:pPr>
        <w:jc w:val="both"/>
        <w:rPr>
          <w:sz w:val="36"/>
          <w:szCs w:val="36"/>
          <w:u w:val="single"/>
          <w:lang w:val="en-GB" w:eastAsia="en-US"/>
        </w:rPr>
      </w:pPr>
      <w:r w:rsidRPr="00FF512E">
        <w:rPr>
          <w:sz w:val="36"/>
          <w:szCs w:val="36"/>
          <w:lang w:val="en-GB" w:eastAsia="en-US"/>
        </w:rPr>
        <w:t xml:space="preserve">6.2. </w:t>
      </w:r>
      <w:r w:rsidRPr="00FF512E">
        <w:rPr>
          <w:sz w:val="36"/>
          <w:szCs w:val="36"/>
          <w:u w:val="single"/>
          <w:lang w:val="en-GB" w:eastAsia="en-US"/>
        </w:rPr>
        <w:t>BIDIRECTIONAL:</w:t>
      </w:r>
    </w:p>
    <w:p w14:paraId="4B650AB4" w14:textId="77777777" w:rsidR="00FF512E" w:rsidRPr="00FF512E" w:rsidRDefault="00FF512E" w:rsidP="00FF512E">
      <w:pPr>
        <w:jc w:val="both"/>
        <w:rPr>
          <w:color w:val="FF0000"/>
          <w:lang w:val="en-GB" w:eastAsia="en-US"/>
        </w:rPr>
      </w:pPr>
    </w:p>
    <w:p w14:paraId="7E58870F" w14:textId="77777777" w:rsidR="00FF512E" w:rsidRPr="00FF512E" w:rsidRDefault="00FF512E" w:rsidP="00FF512E">
      <w:pPr>
        <w:jc w:val="both"/>
        <w:rPr>
          <w:color w:val="000000" w:themeColor="text1"/>
          <w:lang w:val="en-GB" w:eastAsia="en-US"/>
        </w:rPr>
      </w:pPr>
      <w:r w:rsidRPr="00FF512E">
        <w:rPr>
          <w:color w:val="000000" w:themeColor="text1"/>
          <w:lang w:val="en-GB" w:eastAsia="en-US"/>
        </w:rPr>
        <w:t>The main challenge of bidirectional interoperability is the synchronization of all ledgers involved; the essential scenario represents the interoperability between distributed ledgers whereby the administrative domain is decentralized.</w:t>
      </w:r>
    </w:p>
    <w:p w14:paraId="25424B54" w14:textId="77777777" w:rsidR="00FF512E" w:rsidRPr="00FF512E" w:rsidRDefault="00FF512E" w:rsidP="00FF512E">
      <w:pPr>
        <w:jc w:val="both"/>
        <w:rPr>
          <w:color w:val="000000" w:themeColor="text1"/>
          <w:lang w:val="en-GB" w:eastAsia="en-US"/>
        </w:rPr>
      </w:pPr>
    </w:p>
    <w:p w14:paraId="7B50992C" w14:textId="77777777" w:rsidR="00FF512E" w:rsidRDefault="00FF512E" w:rsidP="00FF512E">
      <w:pPr>
        <w:jc w:val="both"/>
        <w:rPr>
          <w:color w:val="000000" w:themeColor="text1"/>
          <w:lang w:val="en-GB" w:eastAsia="en-US"/>
        </w:rPr>
      </w:pPr>
      <w:r w:rsidRPr="00FF512E">
        <w:rPr>
          <w:color w:val="000000" w:themeColor="text1"/>
          <w:lang w:val="en-GB" w:eastAsia="en-US"/>
        </w:rPr>
        <w:t>Simple ledger can relay in a variety of layers and a variety of PDL can coexist for a same industry whereby PDLs consolidate their flow and registries in an immutable ledger that reflects the status of both PDLs is valid.</w:t>
      </w:r>
    </w:p>
    <w:p w14:paraId="5E112E02" w14:textId="77777777" w:rsidR="003810E5" w:rsidRDefault="003810E5" w:rsidP="00FF512E">
      <w:pPr>
        <w:jc w:val="both"/>
        <w:rPr>
          <w:color w:val="000000" w:themeColor="text1"/>
          <w:lang w:val="en-GB" w:eastAsia="en-US"/>
        </w:rPr>
      </w:pPr>
    </w:p>
    <w:p w14:paraId="541EFAD6" w14:textId="77777777" w:rsidR="003810E5" w:rsidRDefault="003810E5" w:rsidP="00FF512E">
      <w:pPr>
        <w:jc w:val="both"/>
        <w:rPr>
          <w:color w:val="000000" w:themeColor="text1"/>
          <w:lang w:val="en-GB" w:eastAsia="en-US"/>
        </w:rPr>
      </w:pPr>
      <w:r w:rsidRPr="00FE194D">
        <w:rPr>
          <w:color w:val="FF0000"/>
          <w:lang w:val="en-GB" w:eastAsia="en-US"/>
        </w:rPr>
        <w:t xml:space="preserve">Directionality is independent of direct or indirect techniques, </w:t>
      </w:r>
      <w:r w:rsidR="00FE194D" w:rsidRPr="00FE194D">
        <w:rPr>
          <w:color w:val="FF0000"/>
          <w:lang w:val="en-GB" w:eastAsia="en-US"/>
        </w:rPr>
        <w:t xml:space="preserve">which means that unidirectional approaches can be direct or indirect techniques </w:t>
      </w:r>
      <w:r w:rsidR="00FE194D">
        <w:rPr>
          <w:color w:val="FF0000"/>
          <w:lang w:val="en-GB" w:eastAsia="en-US"/>
        </w:rPr>
        <w:t xml:space="preserve">and at the same time a variety of techniques can be applicable for direct or indirect considerations of bidirectional interoperability </w:t>
      </w:r>
    </w:p>
    <w:p w14:paraId="4389C41A" w14:textId="77777777" w:rsidR="00FE194D" w:rsidRDefault="00FE194D" w:rsidP="00FF512E">
      <w:pPr>
        <w:jc w:val="both"/>
        <w:rPr>
          <w:color w:val="FF0000"/>
          <w:lang w:val="en-GB" w:eastAsia="en-US"/>
        </w:rPr>
      </w:pPr>
    </w:p>
    <w:p w14:paraId="1734E38D" w14:textId="77777777" w:rsidR="00247645" w:rsidRDefault="006E2E46" w:rsidP="00FF512E">
      <w:pPr>
        <w:jc w:val="both"/>
        <w:rPr>
          <w:color w:val="FF0000"/>
          <w:lang w:val="en-GB" w:eastAsia="en-US"/>
        </w:rPr>
      </w:pPr>
      <w:r>
        <w:rPr>
          <w:color w:val="FF0000"/>
          <w:lang w:val="en-GB" w:eastAsia="en-US"/>
        </w:rPr>
        <w:t>Whereas A is a PDL looking for interoperability, B is another PDL for interoperability or an application ( API, Gateway API, etc) for interoperability, which some of those tools or auxiliary mechanism are described in this document, and C is another PDL which is requested for interoperability or is looking for interoperability with PDL A.</w:t>
      </w:r>
      <w:r w:rsidR="00247645">
        <w:rPr>
          <w:color w:val="FF0000"/>
          <w:lang w:val="en-GB" w:eastAsia="en-US"/>
        </w:rPr>
        <w:t xml:space="preserve"> </w:t>
      </w:r>
    </w:p>
    <w:p w14:paraId="630A6459" w14:textId="77777777" w:rsidR="00247645" w:rsidRDefault="00247645" w:rsidP="00FF512E">
      <w:pPr>
        <w:jc w:val="both"/>
        <w:rPr>
          <w:color w:val="FF0000"/>
          <w:lang w:val="en-GB" w:eastAsia="en-US"/>
        </w:rPr>
      </w:pPr>
    </w:p>
    <w:p w14:paraId="20B89927" w14:textId="77777777" w:rsidR="006E2E46" w:rsidRDefault="00247645" w:rsidP="00FF512E">
      <w:pPr>
        <w:jc w:val="both"/>
        <w:rPr>
          <w:color w:val="FF0000"/>
          <w:lang w:val="en-GB" w:eastAsia="en-US"/>
        </w:rPr>
      </w:pPr>
      <w:r w:rsidRPr="00FE194D">
        <w:rPr>
          <w:color w:val="FF0000"/>
          <w:lang w:val="en-GB" w:eastAsia="en-US"/>
        </w:rPr>
        <w:t>Within the diagram</w:t>
      </w:r>
      <w:r>
        <w:rPr>
          <w:color w:val="FF0000"/>
          <w:lang w:val="en-GB" w:eastAsia="en-US"/>
        </w:rPr>
        <w:t>s, it is visible to compare the scenarios whereby, and independently if it is direct or indirect techniques, various PDLs make interoperability.</w:t>
      </w:r>
    </w:p>
    <w:p w14:paraId="64D83971" w14:textId="77777777" w:rsidR="006E2E46" w:rsidRDefault="006E2E46" w:rsidP="00FF512E">
      <w:pPr>
        <w:jc w:val="both"/>
        <w:rPr>
          <w:color w:val="FF0000"/>
          <w:lang w:val="en-GB" w:eastAsia="en-US"/>
        </w:rPr>
      </w:pPr>
    </w:p>
    <w:p w14:paraId="5620A0CE" w14:textId="77777777" w:rsidR="006E2E46" w:rsidRPr="00FE194D" w:rsidRDefault="006E2E46" w:rsidP="00FF512E">
      <w:pPr>
        <w:jc w:val="both"/>
        <w:rPr>
          <w:color w:val="FF0000"/>
          <w:lang w:val="en-GB" w:eastAsia="en-US"/>
        </w:rPr>
      </w:pPr>
      <w:r>
        <w:rPr>
          <w:color w:val="FF0000"/>
          <w:lang w:val="en-GB" w:eastAsia="en-US"/>
        </w:rPr>
        <w:t>Within these two scenarios</w:t>
      </w:r>
      <w:r w:rsidR="00247645">
        <w:rPr>
          <w:color w:val="FF0000"/>
          <w:lang w:val="en-GB" w:eastAsia="en-US"/>
        </w:rPr>
        <w:t xml:space="preserve"> as following:</w:t>
      </w:r>
    </w:p>
    <w:p w14:paraId="3CC5E93C" w14:textId="77777777" w:rsidR="003810E5" w:rsidRDefault="003810E5" w:rsidP="00FF512E">
      <w:pPr>
        <w:jc w:val="both"/>
        <w:rPr>
          <w:color w:val="000000" w:themeColor="text1"/>
          <w:lang w:val="en-GB" w:eastAsia="en-US"/>
        </w:rPr>
      </w:pPr>
    </w:p>
    <w:p w14:paraId="0F9179F1" w14:textId="77777777" w:rsidR="003810E5" w:rsidRDefault="003810E5" w:rsidP="00FF512E">
      <w:pPr>
        <w:jc w:val="both"/>
        <w:rPr>
          <w:color w:val="000000" w:themeColor="text1"/>
          <w:lang w:val="en-GB" w:eastAsia="en-US"/>
        </w:rPr>
      </w:pPr>
    </w:p>
    <w:p w14:paraId="5AFFCF8B" w14:textId="77777777" w:rsidR="003810E5" w:rsidRPr="00FF512E" w:rsidRDefault="003810E5" w:rsidP="00FF512E">
      <w:pPr>
        <w:jc w:val="both"/>
        <w:rPr>
          <w:color w:val="000000" w:themeColor="text1"/>
          <w:lang w:val="en-GB" w:eastAsia="en-US"/>
        </w:rPr>
      </w:pPr>
    </w:p>
    <w:p w14:paraId="22C9DBCB" w14:textId="77777777" w:rsidR="00FF512E" w:rsidRDefault="00FF512E" w:rsidP="00FF512E">
      <w:pPr>
        <w:spacing w:after="160" w:line="259" w:lineRule="auto"/>
        <w:jc w:val="both"/>
        <w:rPr>
          <w:lang w:val="en-US"/>
        </w:rPr>
      </w:pPr>
      <w:r w:rsidRPr="00FF512E">
        <w:rPr>
          <w:highlight w:val="yellow"/>
          <w:lang w:val="en-US"/>
        </w:rPr>
        <w:t>(make 2 different flow-diagram) for t</w:t>
      </w:r>
      <w:r w:rsidR="004A4E6D" w:rsidRPr="004A4E6D">
        <w:rPr>
          <w:highlight w:val="yellow"/>
          <w:lang w:val="en-US"/>
          <w:rPrChange w:id="142" w:author="ismael arribas" w:date="2021-11-29T12:55:00Z">
            <w:rPr>
              <w:lang w:val="en-US"/>
            </w:rPr>
          </w:rPrChange>
        </w:rPr>
        <w:t>h</w:t>
      </w:r>
      <w:r w:rsidRPr="00FF512E">
        <w:rPr>
          <w:highlight w:val="yellow"/>
          <w:lang w:val="en-US"/>
        </w:rPr>
        <w:t>e diagrams we will called PDL (nor ledger)</w:t>
      </w:r>
    </w:p>
    <w:p w14:paraId="3501BB7C" w14:textId="77777777" w:rsidR="003810E5" w:rsidRDefault="003810E5" w:rsidP="00FF512E">
      <w:pPr>
        <w:spacing w:after="160" w:line="259" w:lineRule="auto"/>
        <w:jc w:val="both"/>
        <w:rPr>
          <w:lang w:val="en-US"/>
        </w:rPr>
      </w:pPr>
    </w:p>
    <w:p w14:paraId="1E825B7E" w14:textId="77777777" w:rsidR="006E2E46" w:rsidRDefault="006E2E46" w:rsidP="00FF512E">
      <w:pPr>
        <w:spacing w:after="160" w:line="259" w:lineRule="auto"/>
        <w:jc w:val="both"/>
        <w:rPr>
          <w:lang w:val="en-US"/>
        </w:rPr>
      </w:pPr>
    </w:p>
    <w:p w14:paraId="09FCA347" w14:textId="77777777" w:rsidR="006E2E46" w:rsidRDefault="006E2E46" w:rsidP="00FF512E">
      <w:pPr>
        <w:spacing w:after="160" w:line="259" w:lineRule="auto"/>
        <w:jc w:val="both"/>
        <w:rPr>
          <w:lang w:val="en-US"/>
        </w:rPr>
      </w:pPr>
    </w:p>
    <w:p w14:paraId="3C109E9B" w14:textId="77777777" w:rsidR="003810E5" w:rsidRDefault="003810E5" w:rsidP="00FF512E">
      <w:pPr>
        <w:spacing w:after="160" w:line="259" w:lineRule="auto"/>
        <w:jc w:val="both"/>
        <w:rPr>
          <w:lang w:val="en-US"/>
        </w:rPr>
      </w:pPr>
    </w:p>
    <w:p w14:paraId="64A1628B" w14:textId="77777777" w:rsidR="003810E5" w:rsidRPr="00FF512E" w:rsidRDefault="003810E5" w:rsidP="003810E5">
      <w:pPr>
        <w:pStyle w:val="Prrafodelista"/>
        <w:numPr>
          <w:ilvl w:val="0"/>
          <w:numId w:val="6"/>
        </w:numPr>
        <w:overflowPunct/>
        <w:autoSpaceDE/>
        <w:autoSpaceDN/>
        <w:adjustRightInd/>
        <w:spacing w:after="160" w:line="259" w:lineRule="auto"/>
        <w:jc w:val="both"/>
        <w:textAlignment w:val="auto"/>
      </w:pPr>
      <w:r w:rsidRPr="00FF512E">
        <w:t>A PDL can change the status of some registries of another PDL and vice versa but the same kind of registry can only be changed by one of them.</w:t>
      </w:r>
    </w:p>
    <w:p w14:paraId="1E4E5E37" w14:textId="77777777" w:rsidR="003810E5" w:rsidRPr="003810E5" w:rsidRDefault="003810E5" w:rsidP="00FF512E">
      <w:pPr>
        <w:spacing w:after="160" w:line="259" w:lineRule="auto"/>
        <w:jc w:val="both"/>
        <w:rPr>
          <w:lang w:val="en-GB"/>
        </w:rPr>
      </w:pPr>
    </w:p>
    <w:p w14:paraId="3F813727" w14:textId="77777777" w:rsidR="00FF512E" w:rsidRPr="003810E5" w:rsidRDefault="00F311EF" w:rsidP="003810E5">
      <w:pPr>
        <w:spacing w:after="160" w:line="259" w:lineRule="auto"/>
        <w:jc w:val="both"/>
        <w:rPr>
          <w:lang w:val="en-US"/>
        </w:rPr>
      </w:pPr>
      <w:r>
        <w:rPr>
          <w:noProof/>
          <w:lang w:val="en-US" w:eastAsia="en-US"/>
        </w:rPr>
        <w:drawing>
          <wp:inline distT="0" distB="0" distL="0" distR="0" wp14:anchorId="31357115" wp14:editId="6A4000ED">
            <wp:extent cx="6120765" cy="34137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120765" cy="3413710"/>
                    </a:xfrm>
                    <a:prstGeom prst="rect">
                      <a:avLst/>
                    </a:prstGeom>
                    <a:noFill/>
                    <a:ln w="9525">
                      <a:noFill/>
                      <a:miter lim="800000"/>
                      <a:headEnd/>
                      <a:tailEnd/>
                    </a:ln>
                  </pic:spPr>
                </pic:pic>
              </a:graphicData>
            </a:graphic>
          </wp:inline>
        </w:drawing>
      </w:r>
    </w:p>
    <w:p w14:paraId="5B2D9E78" w14:textId="77777777" w:rsidR="003810E5" w:rsidRPr="003810E5" w:rsidRDefault="00FF512E" w:rsidP="003810E5">
      <w:pPr>
        <w:pStyle w:val="Prrafodelista"/>
        <w:numPr>
          <w:ilvl w:val="0"/>
          <w:numId w:val="6"/>
        </w:numPr>
        <w:jc w:val="both"/>
      </w:pPr>
      <w:r w:rsidRPr="003810E5">
        <w:t>Two PDL share the value/status of one or more registries. Any change in any PDL triggers a change in the other PDL.</w:t>
      </w:r>
    </w:p>
    <w:p w14:paraId="0025507E" w14:textId="77777777" w:rsidR="003810E5" w:rsidRPr="003810E5" w:rsidRDefault="00F311EF" w:rsidP="003810E5">
      <w:pPr>
        <w:jc w:val="both"/>
        <w:rPr>
          <w:sz w:val="36"/>
          <w:szCs w:val="36"/>
        </w:rPr>
      </w:pPr>
      <w:r>
        <w:rPr>
          <w:noProof/>
          <w:sz w:val="36"/>
          <w:szCs w:val="36"/>
          <w:lang w:val="en-US" w:eastAsia="en-US"/>
        </w:rPr>
        <w:drawing>
          <wp:inline distT="0" distB="0" distL="0" distR="0" wp14:anchorId="34707D2F" wp14:editId="5A7F3BEE">
            <wp:extent cx="6120765" cy="3417288"/>
            <wp:effectExtent l="1905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120765" cy="3417288"/>
                    </a:xfrm>
                    <a:prstGeom prst="rect">
                      <a:avLst/>
                    </a:prstGeom>
                    <a:noFill/>
                    <a:ln w="9525">
                      <a:noFill/>
                      <a:miter lim="800000"/>
                      <a:headEnd/>
                      <a:tailEnd/>
                    </a:ln>
                  </pic:spPr>
                </pic:pic>
              </a:graphicData>
            </a:graphic>
          </wp:inline>
        </w:drawing>
      </w:r>
    </w:p>
    <w:p w14:paraId="328D9EA8" w14:textId="77777777" w:rsidR="00FF512E" w:rsidRPr="00FF512E" w:rsidRDefault="00FF512E" w:rsidP="00FF512E">
      <w:pPr>
        <w:pStyle w:val="Ttulo1"/>
        <w:jc w:val="both"/>
        <w:rPr>
          <w:rFonts w:ascii="Times New Roman" w:hAnsi="Times New Roman"/>
        </w:rPr>
      </w:pPr>
      <w:r w:rsidRPr="00FF512E">
        <w:rPr>
          <w:rFonts w:ascii="Times New Roman" w:hAnsi="Times New Roman"/>
        </w:rPr>
        <w:lastRenderedPageBreak/>
        <w:t>7</w:t>
      </w:r>
      <w:r w:rsidRPr="00FF512E">
        <w:rPr>
          <w:rFonts w:ascii="Times New Roman" w:hAnsi="Times New Roman"/>
          <w:u w:val="single"/>
        </w:rPr>
        <w:t>.    PDL INTEROPERABILITY TOOLS:</w:t>
      </w:r>
      <w:r w:rsidRPr="00FF512E">
        <w:rPr>
          <w:rFonts w:ascii="Times New Roman" w:hAnsi="Times New Roman"/>
        </w:rPr>
        <w:tab/>
      </w:r>
    </w:p>
    <w:p w14:paraId="7E0C654D" w14:textId="77777777" w:rsidR="00FF512E" w:rsidRPr="00FF512E" w:rsidRDefault="00FF512E" w:rsidP="00095598">
      <w:pPr>
        <w:jc w:val="both"/>
      </w:pPr>
    </w:p>
    <w:p w14:paraId="3C973422"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APIs or Tooling (as depicted in PDL-003)</w:t>
      </w:r>
    </w:p>
    <w:p w14:paraId="0FB7CB41"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 xml:space="preserve">Through dedicated application (to discuss whether this is interoperability) </w:t>
      </w:r>
    </w:p>
    <w:p w14:paraId="18FD3A5B"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an inter-PDL dedicated application developed for automation of interoperability. This is the case when the two ledgers are not accessible by a single ‘user’.</w:t>
      </w:r>
    </w:p>
    <w:p w14:paraId="45B4824F" w14:textId="77777777" w:rsidR="00FF512E" w:rsidRPr="00FF512E" w:rsidRDefault="00FF512E" w:rsidP="00FF512E">
      <w:pPr>
        <w:jc w:val="both"/>
        <w:rPr>
          <w:lang w:val="en-US"/>
        </w:rPr>
      </w:pPr>
    </w:p>
    <w:p w14:paraId="38F7F4F4" w14:textId="77777777" w:rsidR="00FF512E" w:rsidRPr="00FF512E" w:rsidRDefault="00FF512E" w:rsidP="00095598">
      <w:pPr>
        <w:jc w:val="both"/>
        <w:rPr>
          <w:sz w:val="36"/>
          <w:szCs w:val="36"/>
          <w:lang w:val="en-US"/>
        </w:rPr>
      </w:pPr>
      <w:r w:rsidRPr="00FF512E">
        <w:rPr>
          <w:sz w:val="36"/>
          <w:szCs w:val="36"/>
          <w:lang w:val="en-US"/>
        </w:rPr>
        <w:t xml:space="preserve">7.1. APIs or Tooling: as depicted in PDL 03 </w:t>
      </w:r>
    </w:p>
    <w:p w14:paraId="1B7D0FD5" w14:textId="77777777" w:rsidR="00FF512E" w:rsidRPr="00FF512E" w:rsidRDefault="00FF512E" w:rsidP="00095598">
      <w:pPr>
        <w:jc w:val="both"/>
        <w:rPr>
          <w:sz w:val="36"/>
          <w:szCs w:val="36"/>
          <w:lang w:val="en-US"/>
        </w:rPr>
      </w:pPr>
    </w:p>
    <w:p w14:paraId="27D51408" w14:textId="77777777" w:rsidR="00FF512E" w:rsidRPr="00FF512E" w:rsidRDefault="00FF512E" w:rsidP="00FF512E">
      <w:pPr>
        <w:jc w:val="both"/>
        <w:rPr>
          <w:color w:val="70AD47" w:themeColor="accent6"/>
          <w:sz w:val="36"/>
          <w:szCs w:val="36"/>
          <w:lang w:val="en-US"/>
        </w:rPr>
      </w:pPr>
      <w:r w:rsidRPr="00FF512E">
        <w:rPr>
          <w:sz w:val="36"/>
          <w:szCs w:val="36"/>
          <w:lang w:val="en-US"/>
        </w:rPr>
        <w:t xml:space="preserve">Gateway API at (New European Interoperability Framework </w:t>
      </w:r>
      <w:r w:rsidRPr="00FF512E">
        <w:rPr>
          <w:color w:val="000000" w:themeColor="text1"/>
          <w:sz w:val="36"/>
          <w:szCs w:val="36"/>
          <w:lang w:val="en-US"/>
        </w:rPr>
        <w:t>and National Interoperability Framework Observatory)</w:t>
      </w:r>
    </w:p>
    <w:p w14:paraId="346E2C7B" w14:textId="77777777" w:rsidR="00FF512E" w:rsidRPr="00FF512E" w:rsidRDefault="00FF512E" w:rsidP="00FF512E">
      <w:pPr>
        <w:jc w:val="both"/>
        <w:rPr>
          <w:color w:val="000000" w:themeColor="text1"/>
          <w:sz w:val="36"/>
          <w:szCs w:val="36"/>
          <w:lang w:val="en-US"/>
        </w:rPr>
      </w:pPr>
    </w:p>
    <w:p w14:paraId="01AD3FA8" w14:textId="77777777" w:rsidR="00FF512E" w:rsidRPr="00FF512E" w:rsidRDefault="00FF512E" w:rsidP="00FF512E">
      <w:pPr>
        <w:jc w:val="both"/>
        <w:rPr>
          <w:color w:val="000000" w:themeColor="text1"/>
          <w:lang w:val="en-US"/>
        </w:rPr>
      </w:pPr>
      <w:r w:rsidRPr="00FF512E">
        <w:rPr>
          <w:color w:val="000000" w:themeColor="text1"/>
          <w:lang w:val="en-US"/>
        </w:rPr>
        <w:t xml:space="preserve">The European Interoperability Reference Architecture (EIRA) was created and is being maintained in the context of ISA2 program ( </w:t>
      </w:r>
      <w:hyperlink r:id="rId25" w:history="1">
        <w:r w:rsidRPr="00FF512E">
          <w:rPr>
            <w:rStyle w:val="Hipervnculo"/>
            <w:color w:val="000000" w:themeColor="text1"/>
            <w:lang w:val="en-US"/>
          </w:rPr>
          <w:t>https://ec.europa.eu/isa2/actions/towards-european-interoperability-architecture_en</w:t>
        </w:r>
      </w:hyperlink>
      <w:r w:rsidRPr="00FF512E">
        <w:rPr>
          <w:color w:val="000000" w:themeColor="text1"/>
          <w:lang w:val="en-US"/>
        </w:rPr>
        <w:t>) as part of the European Interoperability Strategy (EIS). With these key instruments, the European Interoperability Framework (EIF) endorsed by the European Commission  and composed of an Interoperability governance with four layers:</w:t>
      </w:r>
    </w:p>
    <w:p w14:paraId="6E6FC2C1" w14:textId="77777777" w:rsidR="00FF512E" w:rsidRPr="00FF512E" w:rsidRDefault="00FF512E" w:rsidP="00FF512E">
      <w:pPr>
        <w:jc w:val="both"/>
        <w:rPr>
          <w:color w:val="000000" w:themeColor="text1"/>
          <w:lang w:val="en-US"/>
        </w:rPr>
      </w:pPr>
    </w:p>
    <w:p w14:paraId="508F6531" w14:textId="77777777" w:rsidR="00FF512E" w:rsidRPr="00095598" w:rsidRDefault="003275B3" w:rsidP="00FF512E">
      <w:pPr>
        <w:jc w:val="both"/>
        <w:rPr>
          <w:color w:val="000000" w:themeColor="text1"/>
          <w:lang w:val="en-US"/>
        </w:rPr>
      </w:pPr>
      <w:r>
        <w:rPr>
          <w:noProof/>
          <w:color w:val="000000" w:themeColor="text1"/>
          <w:lang w:val="en-US" w:eastAsia="en-US"/>
          <w:rPrChange w:id="143">
            <w:rPr>
              <w:noProof/>
              <w:lang w:val="en-US" w:eastAsia="en-US"/>
            </w:rPr>
          </w:rPrChange>
        </w:rPr>
        <w:drawing>
          <wp:inline distT="0" distB="0" distL="0" distR="0" wp14:anchorId="5E2AFAB7" wp14:editId="31E135D8">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6" cstate="print"/>
                    <a:stretch>
                      <a:fillRect/>
                    </a:stretch>
                  </pic:blipFill>
                  <pic:spPr>
                    <a:xfrm>
                      <a:off x="0" y="0"/>
                      <a:ext cx="6120765" cy="3172460"/>
                    </a:xfrm>
                    <a:prstGeom prst="rect">
                      <a:avLst/>
                    </a:prstGeom>
                  </pic:spPr>
                </pic:pic>
              </a:graphicData>
            </a:graphic>
          </wp:inline>
        </w:drawing>
      </w:r>
    </w:p>
    <w:p w14:paraId="2829FC1E" w14:textId="77777777" w:rsidR="00FF512E" w:rsidRPr="00FF512E" w:rsidRDefault="00BE44EF" w:rsidP="00FF512E">
      <w:pPr>
        <w:ind w:left="1136" w:firstLine="284"/>
        <w:jc w:val="both"/>
        <w:rPr>
          <w:color w:val="000000" w:themeColor="text1"/>
          <w:lang w:val="en-US"/>
        </w:rPr>
      </w:pPr>
      <w:hyperlink r:id="rId27" w:history="1">
        <w:r w:rsidR="00FF512E" w:rsidRPr="00FF512E">
          <w:rPr>
            <w:rStyle w:val="Hipervnculo"/>
            <w:color w:val="000000" w:themeColor="text1"/>
            <w:lang w:val="en-US"/>
          </w:rPr>
          <w:t>https://ec.europa.eu/isa2/sites/default/files/eif_brochure_final.pdf</w:t>
        </w:r>
      </w:hyperlink>
      <w:r w:rsidR="00FF512E" w:rsidRPr="00FF512E">
        <w:rPr>
          <w:color w:val="000000" w:themeColor="text1"/>
          <w:lang w:val="en-US"/>
        </w:rPr>
        <w:t xml:space="preserve"> </w:t>
      </w:r>
    </w:p>
    <w:p w14:paraId="6DB9D347" w14:textId="77777777" w:rsidR="00FF512E" w:rsidRPr="00FF512E" w:rsidRDefault="00FF512E" w:rsidP="00FF512E">
      <w:pPr>
        <w:jc w:val="both"/>
        <w:rPr>
          <w:color w:val="000000" w:themeColor="text1"/>
          <w:lang w:val="en-US"/>
        </w:rPr>
      </w:pPr>
    </w:p>
    <w:p w14:paraId="0CEB3678" w14:textId="77777777" w:rsidR="00FF512E" w:rsidRPr="00FF512E" w:rsidRDefault="00FF512E" w:rsidP="00FF512E">
      <w:pPr>
        <w:jc w:val="both"/>
        <w:rPr>
          <w:color w:val="000000" w:themeColor="text1"/>
          <w:lang w:val="en-US"/>
        </w:rPr>
      </w:pPr>
      <w:r w:rsidRPr="00FF512E">
        <w:rPr>
          <w:color w:val="000000" w:themeColor="text1"/>
          <w:lang w:val="en-US"/>
        </w:rPr>
        <w:t>The interoperability requirements solutions compose an approach via DL SAT ( Detailed-level Interoperability Requirements Solution Architecture Template) which thru a design guidelines offers specification extending to EIRA providing solution architects in a specific solution domain in a form of a template that can be used to design related solutions. Any SAT (Solution Architecture Template) in EIRA contains:</w:t>
      </w:r>
    </w:p>
    <w:p w14:paraId="36954DD2" w14:textId="77777777" w:rsidR="00FF512E" w:rsidRPr="00FF512E" w:rsidRDefault="00FF512E" w:rsidP="00FF512E">
      <w:pPr>
        <w:jc w:val="both"/>
        <w:rPr>
          <w:color w:val="000000" w:themeColor="text1"/>
          <w:lang w:val="en-US"/>
        </w:rPr>
      </w:pPr>
    </w:p>
    <w:p w14:paraId="18D73BEC"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Principles and requirements</w:t>
      </w:r>
    </w:p>
    <w:p w14:paraId="14227CEB"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Goal and description of supported functionalities</w:t>
      </w:r>
    </w:p>
    <w:p w14:paraId="0A1EEEFC"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lastRenderedPageBreak/>
        <w:t>A sub-set of the EIRA core Architecture Building Blocks (ABBs) covering the four EIF layers</w:t>
      </w:r>
    </w:p>
    <w:p w14:paraId="5FC2E215"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A set of specific ABBs extending EIRA´s views enabling specific functionalities to be provided by implementations derived from SAT.</w:t>
      </w:r>
    </w:p>
    <w:p w14:paraId="526823BB" w14:textId="77777777" w:rsidR="00FF512E" w:rsidRPr="00FF512E" w:rsidRDefault="00FF512E" w:rsidP="00FF512E">
      <w:pPr>
        <w:pStyle w:val="Prrafodelista"/>
        <w:numPr>
          <w:ilvl w:val="0"/>
          <w:numId w:val="2"/>
        </w:numPr>
        <w:jc w:val="both"/>
        <w:rPr>
          <w:color w:val="000000" w:themeColor="text1"/>
          <w:lang w:val="en-US"/>
        </w:rPr>
      </w:pPr>
      <w:r w:rsidRPr="00FF512E">
        <w:rPr>
          <w:color w:val="000000" w:themeColor="text1"/>
          <w:sz w:val="24"/>
          <w:szCs w:val="24"/>
          <w:lang w:val="en-US"/>
        </w:rPr>
        <w:t>The interoperability specifications of selected ABBs.</w:t>
      </w:r>
    </w:p>
    <w:p w14:paraId="002FB08D" w14:textId="77777777" w:rsidR="00FF512E" w:rsidRPr="00FF512E" w:rsidRDefault="00FF512E" w:rsidP="00FF512E">
      <w:pPr>
        <w:jc w:val="both"/>
        <w:rPr>
          <w:color w:val="000000" w:themeColor="text1"/>
          <w:lang w:val="en-US"/>
        </w:rPr>
      </w:pPr>
      <w:r w:rsidRPr="00FF512E">
        <w:rPr>
          <w:color w:val="000000" w:themeColor="text1"/>
          <w:lang w:val="en-US"/>
        </w:rPr>
        <w:t>In addition the Design guidelines for SAT provide a comprehensive numbers of guidelines such as narrative, motivation, minimal attributes for the interoperability specifications such as ID, dct:type, dct:publisher, dct:modified, eira: url, eira:identifier and eira:body,</w:t>
      </w:r>
    </w:p>
    <w:p w14:paraId="4094CF1D" w14:textId="77777777" w:rsidR="00FF512E" w:rsidRPr="00FF512E" w:rsidRDefault="00FF512E" w:rsidP="00FF512E">
      <w:pPr>
        <w:jc w:val="both"/>
        <w:rPr>
          <w:color w:val="000000" w:themeColor="text1"/>
          <w:lang w:val="en-US"/>
        </w:rPr>
      </w:pPr>
    </w:p>
    <w:p w14:paraId="27DA66BA" w14:textId="77777777" w:rsidR="00FF512E" w:rsidRPr="00FF512E" w:rsidRDefault="00FF512E" w:rsidP="00FF512E">
      <w:pPr>
        <w:jc w:val="both"/>
        <w:rPr>
          <w:color w:val="000000" w:themeColor="text1"/>
          <w:lang w:val="en-US"/>
        </w:rPr>
      </w:pPr>
      <w:r w:rsidRPr="00FF512E">
        <w:rPr>
          <w:color w:val="000000" w:themeColor="text1"/>
          <w:lang w:val="en-US"/>
        </w:rPr>
        <w:t xml:space="preserve">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 </w:t>
      </w:r>
    </w:p>
    <w:p w14:paraId="00A3B19C" w14:textId="77777777" w:rsidR="00FF512E" w:rsidRPr="00095598" w:rsidRDefault="003275B3" w:rsidP="00FF512E">
      <w:pPr>
        <w:jc w:val="both"/>
        <w:rPr>
          <w:color w:val="000000" w:themeColor="text1"/>
          <w:lang w:val="en-US"/>
        </w:rPr>
      </w:pPr>
      <w:r>
        <w:rPr>
          <w:noProof/>
          <w:color w:val="000000" w:themeColor="text1"/>
          <w:lang w:val="en-US" w:eastAsia="en-US"/>
          <w:rPrChange w:id="144">
            <w:rPr>
              <w:noProof/>
              <w:lang w:val="en-US" w:eastAsia="en-US"/>
            </w:rPr>
          </w:rPrChange>
        </w:rPr>
        <w:drawing>
          <wp:inline distT="0" distB="0" distL="0" distR="0" wp14:anchorId="27DB6082" wp14:editId="2612282E">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8" cstate="print"/>
                    <a:stretch>
                      <a:fillRect/>
                    </a:stretch>
                  </pic:blipFill>
                  <pic:spPr>
                    <a:xfrm>
                      <a:off x="0" y="0"/>
                      <a:ext cx="4762500" cy="3873500"/>
                    </a:xfrm>
                    <a:prstGeom prst="rect">
                      <a:avLst/>
                    </a:prstGeom>
                  </pic:spPr>
                </pic:pic>
              </a:graphicData>
            </a:graphic>
          </wp:inline>
        </w:drawing>
      </w:r>
    </w:p>
    <w:p w14:paraId="22E15E74" w14:textId="77777777" w:rsidR="00FF512E" w:rsidRPr="00095598" w:rsidRDefault="00FF512E" w:rsidP="00FF512E">
      <w:pPr>
        <w:jc w:val="both"/>
        <w:rPr>
          <w:color w:val="000000" w:themeColor="text1"/>
          <w:lang w:val="en-US"/>
        </w:rPr>
      </w:pPr>
    </w:p>
    <w:p w14:paraId="3AF14522" w14:textId="77777777" w:rsidR="00FF512E" w:rsidRPr="00095598" w:rsidRDefault="00FF512E" w:rsidP="00FF512E">
      <w:pPr>
        <w:jc w:val="both"/>
        <w:rPr>
          <w:color w:val="000000" w:themeColor="text1"/>
          <w:lang w:val="en-US"/>
        </w:rPr>
      </w:pPr>
    </w:p>
    <w:p w14:paraId="54F60925" w14:textId="77777777" w:rsidR="00FF512E" w:rsidRPr="00095598" w:rsidRDefault="00FF512E" w:rsidP="00FF512E">
      <w:pPr>
        <w:jc w:val="both"/>
        <w:rPr>
          <w:i/>
          <w:iCs/>
          <w:color w:val="000000" w:themeColor="text1"/>
          <w:lang w:val="en-US"/>
        </w:rPr>
      </w:pPr>
      <w:r w:rsidRPr="00095598">
        <w:rPr>
          <w:i/>
          <w:iCs/>
          <w:color w:val="000000" w:themeColor="text1"/>
          <w:lang w:val="en-US"/>
        </w:rPr>
        <w:t>Example of a Resource Description Framework as implementation of Semantic Interoperability Specification which has a principle attached (the Linked Data Principle) in the EIRA DL SAT.</w:t>
      </w:r>
    </w:p>
    <w:p w14:paraId="7DC9C63A" w14:textId="77777777" w:rsidR="00FF512E" w:rsidRPr="00095598" w:rsidRDefault="00FF512E" w:rsidP="00FF512E">
      <w:pPr>
        <w:jc w:val="both"/>
        <w:rPr>
          <w:color w:val="000000" w:themeColor="text1"/>
          <w:lang w:val="en-US"/>
        </w:rPr>
      </w:pPr>
    </w:p>
    <w:p w14:paraId="40C68D97" w14:textId="77777777" w:rsidR="00FF512E" w:rsidRPr="00095598" w:rsidRDefault="00FF512E" w:rsidP="00FF512E">
      <w:pPr>
        <w:jc w:val="both"/>
        <w:rPr>
          <w:color w:val="000000" w:themeColor="text1"/>
          <w:lang w:val="en-US"/>
        </w:rPr>
      </w:pPr>
    </w:p>
    <w:p w14:paraId="1C32B0B3" w14:textId="77777777" w:rsidR="00FF512E" w:rsidRPr="00095598" w:rsidRDefault="00FF512E" w:rsidP="00FF512E">
      <w:pPr>
        <w:jc w:val="both"/>
        <w:rPr>
          <w:color w:val="000000" w:themeColor="text1"/>
          <w:lang w:val="en-US"/>
        </w:rPr>
      </w:pPr>
      <w:r w:rsidRPr="00095598">
        <w:rPr>
          <w:color w:val="000000" w:themeColor="text1"/>
          <w:lang w:val="en-US"/>
        </w:rPr>
        <w:t>A complete toolkit and libraries are released with their components at the EIRA Library of Interoperability Specifications (ELIS) (</w:t>
      </w:r>
      <w:hyperlink r:id="rId29" w:history="1">
        <w:r w:rsidRPr="00095598">
          <w:rPr>
            <w:rStyle w:val="Hipervnculo"/>
            <w:color w:val="000000" w:themeColor="text1"/>
            <w:lang w:val="en-US"/>
          </w:rPr>
          <w:t>https://joinup.ec.europa.eu/collection/common-assessment-method-standards-and-specifications-camss/solution/elis/release/v110</w:t>
        </w:r>
      </w:hyperlink>
      <w:r w:rsidRPr="00095598">
        <w:rPr>
          <w:color w:val="000000" w:themeColor="text1"/>
          <w:lang w:val="en-US"/>
        </w:rPr>
        <w:t>) which displays: Architecture Building Blocks, specification name, domain and URLs of the interoperability specification.</w:t>
      </w:r>
    </w:p>
    <w:p w14:paraId="5FB18A82" w14:textId="77777777" w:rsidR="00FF512E" w:rsidRPr="00095598" w:rsidRDefault="00FF512E" w:rsidP="00FF512E">
      <w:pPr>
        <w:jc w:val="both"/>
        <w:rPr>
          <w:color w:val="000000" w:themeColor="text1"/>
          <w:lang w:val="en-US"/>
        </w:rPr>
      </w:pPr>
    </w:p>
    <w:p w14:paraId="391B8202" w14:textId="77777777" w:rsidR="00FF512E" w:rsidRPr="00095598" w:rsidRDefault="00FF512E" w:rsidP="00FF512E">
      <w:pPr>
        <w:jc w:val="both"/>
        <w:rPr>
          <w:color w:val="000000" w:themeColor="text1"/>
          <w:lang w:val="en-US"/>
        </w:rPr>
      </w:pPr>
      <w:r w:rsidRPr="00095598">
        <w:rPr>
          <w:color w:val="000000" w:themeColor="text1"/>
          <w:lang w:val="en-US"/>
        </w:rPr>
        <w:t xml:space="preserve">The National Interoperability Framework Observatory (NIFO) 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w:t>
      </w:r>
      <w:r w:rsidRPr="00095598">
        <w:rPr>
          <w:color w:val="000000" w:themeColor="text1"/>
          <w:lang w:val="en-US"/>
        </w:rPr>
        <w:lastRenderedPageBreak/>
        <w:t xml:space="preserve">prime source of information regarding digital public administration and interoperability matter within Europe. NIFO is centering its functionalities as information observatory, assistance and support, and community practice. </w:t>
      </w:r>
    </w:p>
    <w:p w14:paraId="6F5745F7" w14:textId="77777777" w:rsidR="00FF512E" w:rsidRPr="00095598" w:rsidRDefault="00FF512E" w:rsidP="00FF512E">
      <w:pPr>
        <w:jc w:val="both"/>
        <w:rPr>
          <w:color w:val="000000" w:themeColor="text1"/>
          <w:lang w:val="en-US"/>
        </w:rPr>
      </w:pPr>
    </w:p>
    <w:p w14:paraId="0223FA43" w14:textId="77777777" w:rsidR="00FF512E" w:rsidRPr="00095598" w:rsidRDefault="00FF512E" w:rsidP="00FF512E">
      <w:pPr>
        <w:jc w:val="both"/>
        <w:rPr>
          <w:color w:val="000000" w:themeColor="text1"/>
          <w:lang w:val="en-US"/>
        </w:rPr>
      </w:pPr>
      <w:r w:rsidRPr="00095598">
        <w:rPr>
          <w:color w:val="000000" w:themeColor="text1"/>
          <w:lang w:val="en-US"/>
        </w:rPr>
        <w:t>Thru this mechanism 36 countries are getting through interoperability matters.</w:t>
      </w:r>
    </w:p>
    <w:p w14:paraId="3944949D" w14:textId="77777777" w:rsidR="00FF512E" w:rsidRPr="00095598" w:rsidRDefault="00BE44EF" w:rsidP="00FF512E">
      <w:pPr>
        <w:jc w:val="both"/>
        <w:rPr>
          <w:color w:val="000000" w:themeColor="text1"/>
          <w:lang w:val="en-US"/>
        </w:rPr>
      </w:pPr>
      <w:hyperlink r:id="rId30" w:history="1">
        <w:r w:rsidR="00FF512E" w:rsidRPr="00095598">
          <w:rPr>
            <w:rStyle w:val="Hipervnculo"/>
            <w:color w:val="000000" w:themeColor="text1"/>
            <w:lang w:val="en-US"/>
          </w:rPr>
          <w:t>https://joinup.ec.europa.eu/collection/nifo-national-interoperability-framework-observatory/national-interoperability-initiatives</w:t>
        </w:r>
      </w:hyperlink>
      <w:r w:rsidR="00FF512E" w:rsidRPr="00095598">
        <w:rPr>
          <w:color w:val="000000" w:themeColor="text1"/>
          <w:lang w:val="en-US"/>
        </w:rPr>
        <w:t xml:space="preserve"> </w:t>
      </w:r>
    </w:p>
    <w:p w14:paraId="17060E53" w14:textId="77777777" w:rsidR="00FF512E" w:rsidRPr="00095598" w:rsidRDefault="00FF512E" w:rsidP="00FF512E">
      <w:pPr>
        <w:jc w:val="both"/>
        <w:rPr>
          <w:color w:val="000000" w:themeColor="text1"/>
          <w:lang w:val="en-US"/>
        </w:rPr>
      </w:pPr>
    </w:p>
    <w:p w14:paraId="5E6054FA" w14:textId="77777777" w:rsidR="00FF512E" w:rsidRPr="00095598" w:rsidRDefault="00FF512E" w:rsidP="00FF512E">
      <w:pPr>
        <w:jc w:val="both"/>
        <w:rPr>
          <w:color w:val="000000" w:themeColor="text1"/>
          <w:lang w:val="en-US"/>
        </w:rPr>
      </w:pPr>
    </w:p>
    <w:p w14:paraId="30A8D7F5" w14:textId="77777777" w:rsidR="00FF512E" w:rsidRPr="00095598" w:rsidRDefault="00FF512E" w:rsidP="00FF512E">
      <w:pPr>
        <w:jc w:val="both"/>
        <w:rPr>
          <w:color w:val="000000" w:themeColor="text1"/>
          <w:lang w:val="en-US"/>
        </w:rPr>
      </w:pPr>
    </w:p>
    <w:p w14:paraId="5871A360" w14:textId="77777777" w:rsidR="00FF512E" w:rsidRPr="00FF512E" w:rsidRDefault="00FF512E" w:rsidP="00095598">
      <w:pPr>
        <w:jc w:val="both"/>
        <w:rPr>
          <w:color w:val="000000" w:themeColor="text1"/>
          <w:sz w:val="36"/>
          <w:szCs w:val="36"/>
          <w:lang w:val="en-US"/>
        </w:rPr>
      </w:pPr>
    </w:p>
    <w:p w14:paraId="1A957DC2" w14:textId="77777777" w:rsidR="00FF512E" w:rsidRPr="00095598" w:rsidRDefault="00FF512E" w:rsidP="00095598">
      <w:pPr>
        <w:jc w:val="both"/>
        <w:rPr>
          <w:color w:val="000000" w:themeColor="text1"/>
          <w:sz w:val="28"/>
          <w:szCs w:val="28"/>
          <w:lang w:val="en-US"/>
        </w:rPr>
      </w:pPr>
    </w:p>
    <w:p w14:paraId="740633D2" w14:textId="77777777" w:rsidR="00FF512E" w:rsidRPr="00FF512E" w:rsidRDefault="00FF512E" w:rsidP="00095598">
      <w:pPr>
        <w:jc w:val="both"/>
        <w:rPr>
          <w:color w:val="000000" w:themeColor="text1"/>
          <w:sz w:val="36"/>
          <w:szCs w:val="36"/>
          <w:lang w:val="en-US"/>
        </w:rPr>
      </w:pPr>
    </w:p>
    <w:p w14:paraId="2CFEEFE8" w14:textId="77777777" w:rsidR="00FF512E" w:rsidRPr="00FF512E" w:rsidRDefault="00FF512E" w:rsidP="00095598">
      <w:pPr>
        <w:jc w:val="both"/>
        <w:rPr>
          <w:sz w:val="36"/>
          <w:szCs w:val="36"/>
          <w:lang w:val="en-US"/>
        </w:rPr>
      </w:pPr>
      <w:r w:rsidRPr="00FF512E">
        <w:rPr>
          <w:sz w:val="36"/>
          <w:szCs w:val="36"/>
          <w:lang w:val="en-US"/>
        </w:rPr>
        <w:t>7.2. Atomic swaps</w:t>
      </w:r>
    </w:p>
    <w:p w14:paraId="4B46716B" w14:textId="77777777" w:rsidR="00FF512E" w:rsidRPr="00FF512E" w:rsidRDefault="00FF512E" w:rsidP="00095598">
      <w:pPr>
        <w:jc w:val="both"/>
        <w:rPr>
          <w:sz w:val="36"/>
          <w:szCs w:val="36"/>
          <w:lang w:val="en-US"/>
        </w:rPr>
      </w:pPr>
    </w:p>
    <w:p w14:paraId="687A036A" w14:textId="77777777" w:rsidR="00FF512E" w:rsidRPr="00095598" w:rsidRDefault="00FF512E" w:rsidP="00095598">
      <w:pPr>
        <w:jc w:val="both"/>
        <w:rPr>
          <w:lang w:val="en-US"/>
        </w:rPr>
      </w:pPr>
      <w:r w:rsidRPr="00FF512E">
        <w:rPr>
          <w:lang w:val="en-US"/>
        </w:rPr>
        <w:t>Different categories can use the same basic mechanism; for example, atomic swaps based on Hashed Time-Lock Contracts (HTLCs) are used in atomic cross-chain transactions for direct trading between two peers, in transactions-across-a-network (also referred t</w:t>
      </w:r>
      <w:r w:rsidRPr="001A4C40">
        <w:rPr>
          <w:lang w:val="en-US"/>
        </w:rPr>
        <w: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w:t>
      </w:r>
      <w:r w:rsidRPr="00095598">
        <w:rPr>
          <w:lang w:val="en-US"/>
        </w:rPr>
        <w:t xml:space="preserve">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p>
    <w:p w14:paraId="2BE1E8C7" w14:textId="77777777" w:rsidR="00FF512E" w:rsidRPr="00FF512E" w:rsidRDefault="00FF512E" w:rsidP="00095598">
      <w:pPr>
        <w:jc w:val="both"/>
        <w:rPr>
          <w:lang w:val="en-US"/>
        </w:rPr>
      </w:pPr>
      <w:r w:rsidRPr="00FF512E">
        <w:rPr>
          <w:lang w:val="en-US"/>
        </w:rPr>
        <w:t>The various approaches differ in the reliability of performing interledger operations. Specifically, if atomic cross-chain transactions are performed by a single entity, then this entity can be a single point of failure. On the other hand, bridging approaches, sidechains, and ledger-of-ledger approaches involve multiple nodes that implement the interledger operations, hence their decentralized operation yields a high reliability. Finally, the reliability of approaches involving transactions-across-a-network W3C ILP depend on the existence of redundant paths between the end nodes that wish to transact.</w:t>
      </w:r>
    </w:p>
    <w:p w14:paraId="14ABEA05" w14:textId="77777777" w:rsidR="00FF512E" w:rsidRPr="00FF512E" w:rsidRDefault="00FF512E" w:rsidP="00095598">
      <w:pPr>
        <w:jc w:val="both"/>
        <w:rPr>
          <w:lang w:val="en-US"/>
        </w:rPr>
      </w:pPr>
    </w:p>
    <w:p w14:paraId="223D7F7C" w14:textId="77777777" w:rsidR="00FF512E" w:rsidRPr="00FF512E" w:rsidRDefault="00FF512E" w:rsidP="00095598">
      <w:pPr>
        <w:jc w:val="both"/>
        <w:rPr>
          <w:lang w:val="en-US"/>
        </w:rPr>
      </w:pPr>
      <w:r w:rsidRPr="00FF512E">
        <w:rPr>
          <w:lang w:val="en-US"/>
        </w:rPr>
        <w:t>Note:V.A. Siris, P. Nikander, S. Voulgaris, N. Fotiou, D. Lagutin, G.C. Polyzos, “Interledger Approaches,” IEEE Access, vol. 7, 89948-89966, 2019. DOI: 10.1109/ACCESS.2019.2926880</w:t>
      </w:r>
    </w:p>
    <w:p w14:paraId="2C507E55" w14:textId="77777777" w:rsidR="00FF512E" w:rsidRPr="00FF512E" w:rsidRDefault="00FF512E" w:rsidP="00095598">
      <w:pPr>
        <w:jc w:val="both"/>
        <w:rPr>
          <w:sz w:val="36"/>
          <w:szCs w:val="36"/>
          <w:lang w:val="en-US"/>
        </w:rPr>
      </w:pPr>
    </w:p>
    <w:p w14:paraId="270B44E5" w14:textId="77777777" w:rsidR="00FF512E" w:rsidRPr="00FF512E" w:rsidRDefault="00FF512E" w:rsidP="00FF512E">
      <w:pPr>
        <w:jc w:val="both"/>
        <w:rPr>
          <w:sz w:val="36"/>
          <w:szCs w:val="36"/>
          <w:lang w:val="en-US"/>
        </w:rPr>
      </w:pPr>
      <w:r w:rsidRPr="00FF512E">
        <w:rPr>
          <w:sz w:val="36"/>
          <w:szCs w:val="36"/>
          <w:lang w:val="en-US"/>
        </w:rPr>
        <w:t>7.3. Sidechains</w:t>
      </w:r>
    </w:p>
    <w:p w14:paraId="765EB9A3" w14:textId="77777777" w:rsidR="00FF512E" w:rsidRPr="00095598" w:rsidRDefault="00FF512E" w:rsidP="00095598">
      <w:pPr>
        <w:jc w:val="both"/>
        <w:rPr>
          <w:sz w:val="22"/>
          <w:szCs w:val="22"/>
          <w:lang w:val="en-US"/>
        </w:rPr>
      </w:pPr>
    </w:p>
    <w:p w14:paraId="2B04A81D"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FF512E">
        <w:rPr>
          <w:lang w:val="en-US"/>
        </w:rPr>
        <w:t>By distributing verification or by a better way to utilize the networks´available resources scaling solutions still remain with uncertainty because of the underlying protocol for interoperability. Off-chain protocols like sidechains or rollups implement alternative scaling approaching.</w:t>
      </w:r>
    </w:p>
    <w:p w14:paraId="6CB22AC9"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095598">
        <w:rPr>
          <w:lang w:val="en-US"/>
        </w:rPr>
        <w:t>The term of sidechain (</w:t>
      </w:r>
      <w:hyperlink r:id="rId31" w:history="1">
        <w:r w:rsidRPr="00095598">
          <w:rPr>
            <w:rStyle w:val="Hipervnculo"/>
            <w:lang w:val="en-US"/>
          </w:rPr>
          <w:t>https://blockstream.com/sidechains.pdf</w:t>
        </w:r>
      </w:hyperlink>
      <w:r w:rsidRPr="00095598">
        <w:rPr>
          <w:lang w:val="en-US"/>
        </w:rPr>
        <w:t xml:space="preserve"> ) initially was used to validate data between two blockchains as a solution to interoperate for such verification. </w:t>
      </w:r>
      <w:r w:rsidRPr="00095598">
        <w:rPr>
          <w:rFonts w:eastAsia="Times New Roman"/>
          <w:color w:val="333333"/>
          <w:lang w:val="en-US" w:eastAsia="es-ES_tradnl"/>
        </w:rPr>
        <w:t xml:space="preserve">It was an interoperability solution to enable two blockchains to verify information about each other’s progress </w:t>
      </w:r>
      <w:r w:rsidRPr="00095598">
        <w:rPr>
          <w:rFonts w:eastAsia="Times New Roman"/>
          <w:color w:val="333333"/>
          <w:lang w:val="en-US" w:eastAsia="es-ES_tradnl"/>
        </w:rPr>
        <w:lastRenderedPageBreak/>
        <w:t>via light-weight proofs. The intention was to allow bitcoins to be locked in Bitcoin and to be released in the other network (and vice versa) without trusting any intermediary with the funds.</w:t>
      </w:r>
      <w:r w:rsidRPr="00FF512E">
        <w:rPr>
          <w:rFonts w:eastAsia="Times New Roman"/>
          <w:color w:val="333333"/>
          <w:lang w:val="en-US" w:eastAsia="es-ES_tradnl"/>
        </w:rPr>
        <w:t xml:space="preserve"> Nowadays the term sidechain is used to imply that an independent network in a PDL has a relationship with another network in another PDL and it is implemented with a bridge contract that allows digital assets to be moved from the PDL to another PDL.</w:t>
      </w:r>
    </w:p>
    <w:p w14:paraId="0A206173"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Normally the practices are using three types of bridge contracts:</w:t>
      </w:r>
    </w:p>
    <w:p w14:paraId="17473925"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Single organizational: single party has the custody.</w:t>
      </w:r>
    </w:p>
    <w:p w14:paraId="2267F50B"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Multi-organizational: fixed set of independent parties have the custody.</w:t>
      </w:r>
    </w:p>
    <w:p w14:paraId="09306E1B"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Crypto-economic: a dynamic set of parties determined by their weight in assets have the custody.</w:t>
      </w:r>
    </w:p>
    <w:p w14:paraId="21FCC3BF"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The bridge contract for sidechains does not verify the integrity of the other network and instead relies on a set of parties to attest the validation. The term rollup originates from work emerged on Plasma by barry whitehat´s zkrollup (</w:t>
      </w:r>
      <w:hyperlink r:id="rId32" w:history="1">
        <w:r w:rsidRPr="00FF512E">
          <w:rPr>
            <w:rStyle w:val="Hipervnculo"/>
            <w:rFonts w:eastAsia="Times New Roman"/>
            <w:lang w:val="en-US" w:eastAsia="es-ES_tradnl"/>
          </w:rPr>
          <w:t>https://github.com/barryWhiteHat/roll_up</w:t>
        </w:r>
      </w:hyperlink>
      <w:r w:rsidRPr="00FF512E">
        <w:rPr>
          <w:rFonts w:eastAsia="Times New Roman"/>
          <w:color w:val="333333"/>
          <w:lang w:val="en-US" w:eastAsia="es-ES_tradnl"/>
        </w:rPr>
        <w:t xml:space="preserve">  )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rollup in comparison with a sidechain. </w:t>
      </w:r>
    </w:p>
    <w:p w14:paraId="78EE4A3A" w14:textId="77777777" w:rsidR="00FF512E" w:rsidRPr="00FF512E" w:rsidRDefault="00FF512E" w:rsidP="00C45D74">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From the user perspective is recommended to check the security of the other network and costs before transacting in a public blockchain, however within a PDL is an enabler to interoperate with other PDL networks and can b unidirectional or bidirectional interoperability. </w:t>
      </w:r>
    </w:p>
    <w:p w14:paraId="68A29D16"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rFonts w:eastAsia="Times New Roman"/>
          <w:color w:val="333333"/>
          <w:lang w:val="en-US" w:eastAsia="es-ES_tradnl"/>
        </w:rPr>
      </w:pPr>
      <w:r w:rsidRPr="00FF512E">
        <w:rPr>
          <w:rFonts w:eastAsia="Times New Roman"/>
          <w:color w:val="333333"/>
          <w:lang w:val="en-US" w:eastAsia="es-ES_tradnl"/>
        </w:rPr>
        <w:t>Example of sidechain: Polygon</w:t>
      </w:r>
    </w:p>
    <w:p w14:paraId="4171454F" w14:textId="77777777" w:rsidR="00FF512E" w:rsidRPr="00095598"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color w:val="333333"/>
          <w:lang w:val="en-US"/>
        </w:rPr>
      </w:pPr>
      <w:r w:rsidRPr="00FF512E">
        <w:rPr>
          <w:rFonts w:eastAsia="Times New Roman"/>
          <w:color w:val="333333"/>
          <w:lang w:val="en-US" w:eastAsia="es-ES_tradnl"/>
        </w:rPr>
        <w:t>Example of Rollup: Arbitrum</w:t>
      </w:r>
    </w:p>
    <w:p w14:paraId="317CCC41" w14:textId="77777777" w:rsidR="00595BF3" w:rsidRDefault="00595BF3" w:rsidP="00595BF3">
      <w:pPr>
        <w:jc w:val="both"/>
        <w:rPr>
          <w:sz w:val="36"/>
          <w:szCs w:val="36"/>
          <w:lang w:val="en-US"/>
        </w:rPr>
        <w:pPrChange w:id="145" w:author="ismael arribas" w:date="2021-04-08T12:13:00Z">
          <w:pPr/>
        </w:pPrChange>
      </w:pPr>
    </w:p>
    <w:p w14:paraId="1BB4AA50" w14:textId="77777777" w:rsidR="00595BF3" w:rsidRDefault="00FF512E" w:rsidP="00595BF3">
      <w:pPr>
        <w:jc w:val="both"/>
        <w:rPr>
          <w:sz w:val="36"/>
          <w:szCs w:val="36"/>
          <w:lang w:val="en-US"/>
        </w:rPr>
        <w:pPrChange w:id="146" w:author="ismael arribas" w:date="2021-04-08T12:13:00Z">
          <w:pPr/>
        </w:pPrChange>
      </w:pPr>
      <w:r w:rsidRPr="00FF512E">
        <w:rPr>
          <w:sz w:val="36"/>
          <w:szCs w:val="36"/>
          <w:lang w:val="en-US"/>
        </w:rPr>
        <w:t>7.4. Layered value transfer protocols</w:t>
      </w:r>
    </w:p>
    <w:p w14:paraId="7CF68A96" w14:textId="77777777" w:rsidR="00595BF3" w:rsidRDefault="00FF512E" w:rsidP="00595BF3">
      <w:pPr>
        <w:jc w:val="both"/>
        <w:rPr>
          <w:sz w:val="36"/>
          <w:szCs w:val="36"/>
          <w:lang w:val="en-US"/>
        </w:rPr>
        <w:pPrChange w:id="147" w:author="ismael arribas" w:date="2021-04-08T12:13:00Z">
          <w:pPr/>
        </w:pPrChange>
      </w:pPr>
      <w:r w:rsidRPr="00FF512E">
        <w:rPr>
          <w:sz w:val="36"/>
          <w:szCs w:val="36"/>
          <w:lang w:val="en-US"/>
        </w:rPr>
        <w:t>7.</w:t>
      </w:r>
      <w:r w:rsidR="0072131F">
        <w:rPr>
          <w:sz w:val="36"/>
          <w:szCs w:val="36"/>
          <w:lang w:val="en-US"/>
        </w:rPr>
        <w:t>5</w:t>
      </w:r>
      <w:r w:rsidRPr="00FF512E">
        <w:rPr>
          <w:sz w:val="36"/>
          <w:szCs w:val="36"/>
          <w:lang w:val="en-US"/>
        </w:rPr>
        <w:t>. Apps for interoperability</w:t>
      </w:r>
    </w:p>
    <w:p w14:paraId="192FA04B" w14:textId="77777777" w:rsidR="00595BF3" w:rsidRDefault="00FF512E" w:rsidP="00595BF3">
      <w:pPr>
        <w:jc w:val="both"/>
        <w:rPr>
          <w:sz w:val="36"/>
          <w:szCs w:val="36"/>
          <w:lang w:val="en-US"/>
        </w:rPr>
        <w:pPrChange w:id="148" w:author="ismael arribas" w:date="2021-04-08T12:13:00Z">
          <w:pPr/>
        </w:pPrChange>
      </w:pPr>
      <w:r w:rsidRPr="00FF512E">
        <w:rPr>
          <w:sz w:val="36"/>
          <w:szCs w:val="36"/>
          <w:lang w:val="en-US"/>
        </w:rPr>
        <w:t>7.</w:t>
      </w:r>
      <w:r w:rsidR="0072131F">
        <w:rPr>
          <w:sz w:val="36"/>
          <w:szCs w:val="36"/>
          <w:lang w:val="en-US"/>
        </w:rPr>
        <w:t>6</w:t>
      </w:r>
      <w:r w:rsidRPr="00FF512E">
        <w:rPr>
          <w:sz w:val="36"/>
          <w:szCs w:val="36"/>
          <w:lang w:val="en-US"/>
        </w:rPr>
        <w:t>. Ledger-of-Ledger</w:t>
      </w:r>
    </w:p>
    <w:p w14:paraId="53252434" w14:textId="77777777" w:rsidR="00FF512E" w:rsidRPr="00FF512E" w:rsidRDefault="00FF512E" w:rsidP="00FF512E">
      <w:pPr>
        <w:jc w:val="both"/>
        <w:rPr>
          <w:sz w:val="36"/>
          <w:szCs w:val="36"/>
          <w:lang w:val="en-US"/>
        </w:rPr>
      </w:pPr>
    </w:p>
    <w:p w14:paraId="52EAB941" w14:textId="77777777" w:rsidR="00FF512E" w:rsidRPr="00FF512E" w:rsidRDefault="00FF512E" w:rsidP="00FF512E">
      <w:pPr>
        <w:pStyle w:val="Ttulo1"/>
        <w:jc w:val="both"/>
        <w:rPr>
          <w:rFonts w:ascii="Times New Roman" w:hAnsi="Times New Roman"/>
        </w:rPr>
      </w:pPr>
      <w:r w:rsidRPr="00FF512E">
        <w:rPr>
          <w:rFonts w:ascii="Times New Roman" w:hAnsi="Times New Roman"/>
        </w:rPr>
        <w:t xml:space="preserve">8.    </w:t>
      </w:r>
      <w:r w:rsidRPr="00095598">
        <w:rPr>
          <w:rFonts w:ascii="Times New Roman" w:hAnsi="Times New Roman"/>
          <w:u w:val="single"/>
        </w:rPr>
        <w:t>PDL INTEROPERABILITY SOLUTIONS</w:t>
      </w:r>
    </w:p>
    <w:p w14:paraId="11D1CEB4" w14:textId="77777777" w:rsidR="00FF512E" w:rsidRPr="00FF512E" w:rsidRDefault="00FF512E" w:rsidP="00FF512E">
      <w:pPr>
        <w:jc w:val="both"/>
        <w:rPr>
          <w:color w:val="000000" w:themeColor="text1"/>
          <w:sz w:val="36"/>
          <w:szCs w:val="36"/>
          <w:lang w:val="en-US"/>
        </w:rPr>
      </w:pPr>
      <w:r w:rsidRPr="00FF512E">
        <w:rPr>
          <w:sz w:val="36"/>
          <w:szCs w:val="36"/>
          <w:lang w:val="en-US"/>
        </w:rPr>
        <w:t xml:space="preserve">8.1. Direct interoperability </w:t>
      </w:r>
      <w:r w:rsidRPr="00095598">
        <w:rPr>
          <w:color w:val="000000" w:themeColor="text1"/>
          <w:sz w:val="36"/>
          <w:szCs w:val="36"/>
          <w:lang w:val="en-US"/>
        </w:rPr>
        <w:t>(OOP (The Once and Only Principle)</w:t>
      </w:r>
    </w:p>
    <w:p w14:paraId="38F38BEF" w14:textId="77777777" w:rsidR="00FF512E" w:rsidRPr="00FF512E" w:rsidRDefault="00FF512E" w:rsidP="00FF512E">
      <w:pPr>
        <w:rPr>
          <w:color w:val="000000" w:themeColor="text1"/>
          <w:lang w:val="en-US"/>
        </w:rPr>
      </w:pPr>
    </w:p>
    <w:p w14:paraId="724C20AB" w14:textId="77777777" w:rsidR="00FF512E" w:rsidRPr="00095598" w:rsidRDefault="00FF512E" w:rsidP="00095598">
      <w:pPr>
        <w:rPr>
          <w:color w:val="000000" w:themeColor="text1"/>
          <w:lang w:val="en-US"/>
        </w:rPr>
      </w:pPr>
      <w:r w:rsidRPr="00FF512E">
        <w:rPr>
          <w:color w:val="000000" w:themeColor="text1"/>
          <w:lang w:val="en-US"/>
        </w:rPr>
        <w:t xml:space="preserve">The concept of the Once-Only Principle focuses on reducing administrative burden for individual and business, it is part of the Single Digital Gateway Regulation </w:t>
      </w:r>
      <w:r w:rsidRPr="00095598">
        <w:rPr>
          <w:color w:val="000000" w:themeColor="text1"/>
          <w:lang w:val="en-US"/>
        </w:rPr>
        <w:t>(EU) 2018/1724</w:t>
      </w:r>
      <w:r w:rsidRPr="00FF512E">
        <w:rPr>
          <w:color w:val="000000" w:themeColor="text1"/>
          <w:lang w:val="en-US"/>
        </w:rPr>
        <w:t xml:space="preserve"> ( </w:t>
      </w:r>
      <w:hyperlink r:id="rId33" w:history="1">
        <w:r w:rsidRPr="00FF512E">
          <w:rPr>
            <w:rStyle w:val="Hipervnculo"/>
            <w:color w:val="000000" w:themeColor="text1"/>
            <w:lang w:val="en-US"/>
          </w:rPr>
          <w:t>https://eur-lex.europa.eu/legal-content/EN/TXT/?uri=celex:32018R1724</w:t>
        </w:r>
      </w:hyperlink>
      <w:r w:rsidRPr="00FF512E">
        <w:rPr>
          <w:color w:val="000000" w:themeColor="text1"/>
          <w:lang w:val="en-US"/>
        </w:rPr>
        <w:t>)  which promotes online access to everything citizens and business need in order to get active in EU Countries. One of the innovative solutions develop is a generic federated architecture, developed in collaboration between the different Member States. The approach to federated architecture and building blocks reuses existing building blocks and components and integrates new elements in the European and participating States´ecosystem increasing a multi-disciplinary and intersectoral character of e-Government.</w:t>
      </w:r>
    </w:p>
    <w:p w14:paraId="6D8E3FF2" w14:textId="77777777" w:rsidR="00FF512E" w:rsidRPr="00FF512E" w:rsidRDefault="00FF512E" w:rsidP="00FF512E">
      <w:pPr>
        <w:jc w:val="both"/>
        <w:rPr>
          <w:color w:val="000000" w:themeColor="text1"/>
          <w:lang w:val="en-US"/>
        </w:rPr>
      </w:pPr>
    </w:p>
    <w:p w14:paraId="053822A0" w14:textId="77777777" w:rsidR="00FF512E" w:rsidRPr="00FF512E" w:rsidRDefault="00FF512E" w:rsidP="00FF512E">
      <w:pPr>
        <w:jc w:val="both"/>
        <w:rPr>
          <w:color w:val="000000" w:themeColor="text1"/>
          <w:lang w:val="en-US"/>
        </w:rPr>
      </w:pPr>
      <w:r w:rsidRPr="00FF512E">
        <w:rPr>
          <w:color w:val="000000" w:themeColor="text1"/>
          <w:lang w:val="en-US"/>
        </w:rPr>
        <w:lastRenderedPageBreak/>
        <w:t>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p>
    <w:p w14:paraId="55950367" w14:textId="77777777" w:rsidR="00FF512E" w:rsidRPr="00FF512E" w:rsidRDefault="00FF512E" w:rsidP="00FF512E">
      <w:pPr>
        <w:jc w:val="both"/>
        <w:rPr>
          <w:color w:val="000000" w:themeColor="text1"/>
          <w:lang w:val="en-US"/>
        </w:rPr>
      </w:pPr>
    </w:p>
    <w:p w14:paraId="50B077DC" w14:textId="77777777" w:rsidR="00FF512E" w:rsidRPr="00FF512E" w:rsidRDefault="00BE44EF" w:rsidP="00FF512E">
      <w:pPr>
        <w:jc w:val="both"/>
        <w:rPr>
          <w:color w:val="000000" w:themeColor="text1"/>
          <w:lang w:val="en-US"/>
        </w:rPr>
      </w:pPr>
      <w:hyperlink r:id="rId34" w:history="1">
        <w:r w:rsidR="00FF512E" w:rsidRPr="00FF512E">
          <w:rPr>
            <w:rStyle w:val="Hipervnculo"/>
            <w:color w:val="000000" w:themeColor="text1"/>
            <w:lang w:val="en-US"/>
          </w:rPr>
          <w:t>https://toop.eu/</w:t>
        </w:r>
      </w:hyperlink>
      <w:r w:rsidR="00FF512E" w:rsidRPr="00FF512E">
        <w:rPr>
          <w:color w:val="000000" w:themeColor="text1"/>
          <w:lang w:val="en-US"/>
        </w:rPr>
        <w:t xml:space="preserve"> </w:t>
      </w:r>
    </w:p>
    <w:p w14:paraId="1CF30CEA" w14:textId="77777777" w:rsidR="00FF512E" w:rsidRPr="00FF512E" w:rsidRDefault="00FF512E" w:rsidP="00FF512E">
      <w:pPr>
        <w:jc w:val="both"/>
        <w:rPr>
          <w:color w:val="FF0000"/>
          <w:lang w:val="en-US"/>
        </w:rPr>
      </w:pPr>
    </w:p>
    <w:p w14:paraId="33432641" w14:textId="77777777" w:rsidR="00FF512E" w:rsidRDefault="00FF512E" w:rsidP="00FF512E">
      <w:pPr>
        <w:jc w:val="both"/>
        <w:rPr>
          <w:color w:val="FF0000"/>
          <w:lang w:val="en-US"/>
        </w:rPr>
      </w:pPr>
    </w:p>
    <w:p w14:paraId="321F5CC3" w14:textId="77777777" w:rsidR="00C45D74" w:rsidRPr="00FF512E" w:rsidRDefault="00C45D74" w:rsidP="00FF512E">
      <w:pPr>
        <w:jc w:val="both"/>
        <w:rPr>
          <w:color w:val="FF0000"/>
          <w:lang w:val="en-US"/>
        </w:rPr>
      </w:pPr>
    </w:p>
    <w:p w14:paraId="783673D0" w14:textId="77777777" w:rsidR="00FF512E" w:rsidRPr="00095598" w:rsidRDefault="00FF512E" w:rsidP="00095598">
      <w:pPr>
        <w:jc w:val="both"/>
        <w:rPr>
          <w:lang w:val="en-US"/>
        </w:rPr>
      </w:pPr>
    </w:p>
    <w:p w14:paraId="5C05DDA2" w14:textId="77777777" w:rsidR="00FF512E" w:rsidRPr="00FF512E" w:rsidRDefault="00FF512E" w:rsidP="00095598">
      <w:pPr>
        <w:jc w:val="both"/>
        <w:rPr>
          <w:sz w:val="36"/>
          <w:szCs w:val="36"/>
          <w:lang w:val="en-US"/>
        </w:rPr>
      </w:pPr>
      <w:r w:rsidRPr="00FF512E">
        <w:rPr>
          <w:sz w:val="36"/>
          <w:szCs w:val="36"/>
          <w:lang w:val="en-US"/>
        </w:rPr>
        <w:t>8.2. Auxiliary PDL</w:t>
      </w:r>
    </w:p>
    <w:p w14:paraId="68147F6B" w14:textId="77777777" w:rsidR="00FF512E" w:rsidRPr="00FF512E" w:rsidRDefault="00FF512E" w:rsidP="00095598">
      <w:pPr>
        <w:jc w:val="both"/>
        <w:rPr>
          <w:sz w:val="36"/>
          <w:szCs w:val="36"/>
          <w:lang w:val="en-US"/>
        </w:rPr>
      </w:pPr>
    </w:p>
    <w:p w14:paraId="75691777"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The auxiliary PDL contains part of the information of third party PDLs for the shake of interoperability between those third PDLs</w:t>
      </w:r>
    </w:p>
    <w:p w14:paraId="5BB62A23"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The auxiliary PDL is the consolidation of third party PDLs (and the reference for disputes?)</w:t>
      </w:r>
    </w:p>
    <w:p w14:paraId="767B6EEE" w14:textId="77777777" w:rsidR="00FF512E" w:rsidRPr="00095598" w:rsidRDefault="00FF512E" w:rsidP="00095598">
      <w:pPr>
        <w:jc w:val="both"/>
        <w:rPr>
          <w:sz w:val="36"/>
          <w:szCs w:val="36"/>
          <w:lang w:val="en-GB"/>
        </w:rPr>
      </w:pPr>
    </w:p>
    <w:p w14:paraId="785BA814" w14:textId="77777777" w:rsidR="00FF512E" w:rsidRPr="00FF512E" w:rsidRDefault="00FF512E" w:rsidP="00095598">
      <w:pPr>
        <w:jc w:val="both"/>
        <w:rPr>
          <w:color w:val="FF0000"/>
          <w:lang w:val="en-US" w:eastAsia="en-US"/>
        </w:rPr>
      </w:pPr>
    </w:p>
    <w:sdt>
      <w:sdtPr>
        <w:tag w:val="goog_rdk_11"/>
        <w:id w:val="-323899245"/>
      </w:sdtPr>
      <w:sdtEndPr/>
      <w:sdtContent>
        <w:p w14:paraId="6F4BFEC6" w14:textId="77777777" w:rsidR="00FF512E" w:rsidRPr="00FF512E" w:rsidRDefault="00BE44EF" w:rsidP="00095598">
          <w:pPr>
            <w:jc w:val="both"/>
            <w:rPr>
              <w:lang w:val="en-US"/>
            </w:rPr>
          </w:pPr>
          <w:sdt>
            <w:sdtPr>
              <w:tag w:val="goog_rdk_10"/>
              <w:id w:val="-1903818474"/>
            </w:sdtPr>
            <w:sdtEndPr/>
            <w:sdtContent>
              <w:r w:rsidR="00FF512E" w:rsidRPr="00FF512E">
                <w:rPr>
                  <w:lang w:val="en-US"/>
                </w:rPr>
                <w:t>In the EU SOFIE</w:t>
              </w:r>
              <w:r w:rsidR="00FF512E" w:rsidRPr="00FF512E">
                <w:rPr>
                  <w:vertAlign w:val="superscript"/>
                </w:rPr>
                <w:footnoteReference w:id="1"/>
              </w:r>
              <w:r w:rsidR="00FF512E" w:rsidRPr="00FF512E">
                <w:rPr>
                  <w:lang w:val="en-US"/>
                </w:rPr>
                <w:t xml:space="preserve"> project, interledger is used in various ways [Lag19]. For example, agricultural supply chain use case stores hash of private transactions to public ledger using interledger, to provide immutability for private transactions and help with dispute resolutions as described in Section 5.1. In context-aware </w:t>
              </w:r>
              <w:r w:rsidR="00FF512E" w:rsidRPr="001A4C40">
                <w:rPr>
                  <w:lang w:val="en-US"/>
                </w:rPr>
                <w:t>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sdtContent>
          </w:sdt>
        </w:p>
      </w:sdtContent>
    </w:sdt>
    <w:sdt>
      <w:sdtPr>
        <w:tag w:val="goog_rdk_13"/>
        <w:id w:val="-801924664"/>
      </w:sdtPr>
      <w:sdtEndPr/>
      <w:sdtContent>
        <w:p w14:paraId="5179E757" w14:textId="77777777" w:rsidR="00FF512E" w:rsidRPr="00FF512E" w:rsidRDefault="00BE44EF" w:rsidP="00095598">
          <w:pPr>
            <w:jc w:val="both"/>
            <w:rPr>
              <w:lang w:val="en-US"/>
            </w:rPr>
          </w:pPr>
          <w:sdt>
            <w:sdtPr>
              <w:tag w:val="goog_rdk_12"/>
              <w:id w:val="1402800272"/>
            </w:sdtPr>
            <w:sdtEndPr/>
            <w:sdtContent>
              <w:r w:rsidR="00FF512E" w:rsidRPr="00FF512E">
                <w:rPr>
                  <w:lang w:val="en-US"/>
                </w:rPr>
                <w:t>In a similar manner, interledger is useful for any kind of situation where trust, transparency, and automa</w:t>
              </w:r>
              <w:r w:rsidR="00FF512E" w:rsidRPr="001A4C40">
                <w:rPr>
                  <w:lang w:val="en-US"/>
                </w:rPr>
                <w:t>tion is required between multiple parties. These include sharing cybersecurity information [Nei2020] or automating disclosure of software vulnerabilities [Lag2020].</w:t>
              </w:r>
            </w:sdtContent>
          </w:sdt>
        </w:p>
      </w:sdtContent>
    </w:sdt>
    <w:sdt>
      <w:sdtPr>
        <w:tag w:val="goog_rdk_15"/>
        <w:id w:val="1395387224"/>
      </w:sdtPr>
      <w:sdtEndPr/>
      <w:sdtContent>
        <w:p w14:paraId="4CACE6B9" w14:textId="77777777" w:rsidR="00FF512E" w:rsidRPr="00FF512E" w:rsidRDefault="00BE44EF" w:rsidP="00095598">
          <w:pPr>
            <w:jc w:val="both"/>
            <w:rPr>
              <w:lang w:val="en-US"/>
            </w:rPr>
          </w:pPr>
          <w:sdt>
            <w:sdtPr>
              <w:tag w:val="goog_rdk_14"/>
              <w:id w:val="-591401943"/>
            </w:sdtPr>
            <w:sdtEndPr/>
            <w:sdtContent>
              <w:r w:rsidR="00FF512E" w:rsidRPr="00FF512E">
                <w:rPr>
                  <w:lang w:val="en-US"/>
                </w:rPr>
                <w:t>SOFIE project has released an interledger implementation</w:t>
              </w:r>
              <w:r w:rsidR="00FF512E" w:rsidRPr="00FF512E">
                <w:rPr>
                  <w:vertAlign w:val="superscript"/>
                </w:rPr>
                <w:footnoteReference w:id="2"/>
              </w:r>
              <w:r w:rsidR="00FF512E" w:rsidRPr="00FF512E">
                <w:rPr>
                  <w:lang w:val="en-US"/>
                </w:rPr>
                <w:t xml:space="preserve"> written in Python supporting Ethereum, Hyperledger Fabric, and Guardtime KSI ledgers. The implementation connects any two ledgers: after a certain trigger occurs on one ledger, the transaction is sent to another ledger.</w:t>
              </w:r>
            </w:sdtContent>
          </w:sdt>
        </w:p>
      </w:sdtContent>
    </w:sdt>
    <w:sdt>
      <w:sdtPr>
        <w:tag w:val="goog_rdk_17"/>
        <w:id w:val="673459127"/>
      </w:sdtPr>
      <w:sdtEndPr/>
      <w:sdtContent>
        <w:p w14:paraId="201C1330" w14:textId="77777777" w:rsidR="00FF512E" w:rsidRPr="00FF512E" w:rsidRDefault="00BE44EF" w:rsidP="00095598">
          <w:pPr>
            <w:jc w:val="both"/>
          </w:pPr>
          <w:sdt>
            <w:sdtPr>
              <w:tag w:val="goog_rdk_16"/>
              <w:id w:val="109645537"/>
            </w:sdtPr>
            <w:sdtEndPr/>
            <w:sdtContent/>
          </w:sdt>
        </w:p>
      </w:sdtContent>
    </w:sdt>
    <w:sdt>
      <w:sdtPr>
        <w:tag w:val="goog_rdk_19"/>
        <w:id w:val="-973607584"/>
      </w:sdtPr>
      <w:sdtEndPr/>
      <w:sdtContent>
        <w:p w14:paraId="7018D2F4" w14:textId="77777777" w:rsidR="00FF512E" w:rsidRPr="00FF512E" w:rsidRDefault="00BE44EF" w:rsidP="00095598">
          <w:pPr>
            <w:jc w:val="both"/>
            <w:rPr>
              <w:lang w:val="en-US"/>
            </w:rPr>
          </w:pPr>
          <w:sdt>
            <w:sdtPr>
              <w:tag w:val="goog_rdk_18"/>
              <w:id w:val="1484429820"/>
            </w:sdtPr>
            <w:sdtEndPr/>
            <w:sdtContent>
              <w:r w:rsidR="00FF512E" w:rsidRPr="00FF512E">
                <w:t>[Lag2019] D. Lagutin, F. Bellesini, T. Bragatto</w:t>
              </w:r>
              <w:r w:rsidR="00FF512E" w:rsidRPr="001A4C40">
                <w:t xml:space="preserve">, A. Cavadenti, V. Croce, Y. Kortesniemi, H. C. Leligou, Y. Oikonomidis, G. C. Polyzos, G. Raveduto, F. Santori, P. Trakadas, and M. Verber. </w:t>
              </w:r>
              <w:r w:rsidR="00FF512E" w:rsidRPr="001A4C40">
                <w:rPr>
                  <w:lang w:val="en-US"/>
                </w:rPr>
                <w:t>Secure Open Federation of IoT Platforms Through Interledger Technologies - The SOFIE Approach. In Proceedings of European Conference on Networks and Communication (EuCNC) 2019. Valencia, Spain, 2019.</w:t>
              </w:r>
            </w:sdtContent>
          </w:sdt>
        </w:p>
      </w:sdtContent>
    </w:sdt>
    <w:sdt>
      <w:sdtPr>
        <w:tag w:val="goog_rdk_21"/>
        <w:id w:val="875425243"/>
      </w:sdtPr>
      <w:sdtEndPr/>
      <w:sdtContent>
        <w:p w14:paraId="0361D587" w14:textId="77777777" w:rsidR="00FF512E" w:rsidRPr="00FF512E" w:rsidRDefault="00BE44EF" w:rsidP="00095598">
          <w:pPr>
            <w:jc w:val="both"/>
            <w:rPr>
              <w:lang w:val="en-US"/>
            </w:rPr>
          </w:pPr>
          <w:sdt>
            <w:sdtPr>
              <w:tag w:val="goog_rdk_20"/>
              <w:id w:val="-519696817"/>
            </w:sdtPr>
            <w:sdtEndPr/>
            <w:sdtContent>
              <w:r w:rsidR="00FF512E" w:rsidRPr="00FF512E">
                <w:rPr>
                  <w:lang w:val="en-US"/>
                </w:rPr>
                <w:t>[Nei2020] R. Neisse, J. L. Hernandez-Ramos, S. N. Matheu-Garcia, G. Baldini, A. Skarmeta, V. Siris, D. Lagutin, P. Nikander. An Interledger Blockchain Platform for cross-border Management of Cybersecurity Information. IEEE Internet Computing, pp. 1-11. IEEE, June 2020.</w:t>
              </w:r>
            </w:sdtContent>
          </w:sdt>
        </w:p>
      </w:sdtContent>
    </w:sdt>
    <w:bookmarkStart w:id="149" w:name="_heading=h.nmf14n" w:colFirst="0" w:colLast="0" w:displacedByCustomXml="next"/>
    <w:bookmarkEnd w:id="149" w:displacedByCustomXml="next"/>
    <w:sdt>
      <w:sdtPr>
        <w:tag w:val="goog_rdk_24"/>
        <w:id w:val="-1949918761"/>
      </w:sdtPr>
      <w:sdtEndPr/>
      <w:sdtContent>
        <w:p w14:paraId="5B494B52" w14:textId="77777777" w:rsidR="00FF512E" w:rsidRPr="00095598" w:rsidRDefault="00BE44EF" w:rsidP="00095598">
          <w:pPr>
            <w:jc w:val="both"/>
            <w:rPr>
              <w:lang w:val="en-US"/>
            </w:rPr>
          </w:pPr>
          <w:sdt>
            <w:sdtPr>
              <w:tag w:val="goog_rdk_22"/>
              <w:id w:val="1536077343"/>
            </w:sdtPr>
            <w:sdtEndPr/>
            <w:sdtContent>
              <w:r w:rsidR="00FF512E" w:rsidRPr="00FF512E">
                <w:rPr>
                  <w:lang w:val="en-US"/>
                </w:rPr>
                <w:t>[Lag2020] D. Lagutin, Y. Kortesniemi, V. A. Siris, N. Fotiou, G. C. Polyzos and L. Wu. Leveraging Interledger Technologies in IoT Security Risk Management. Chapter in: Security Risk Management for the Internet of Things: Technologies and Techniques for IoT Security, Privacy and Data Protection, pp. 229-246. now publishers, June 2020.</w:t>
              </w:r>
            </w:sdtContent>
          </w:sdt>
          <w:sdt>
            <w:sdtPr>
              <w:tag w:val="goog_rdk_23"/>
              <w:id w:val="864492151"/>
              <w:showingPlcHdr/>
            </w:sdtPr>
            <w:sdtEndPr/>
            <w:sdtContent>
              <w:r w:rsidR="00FF512E" w:rsidRPr="00FF512E">
                <w:rPr>
                  <w:lang w:val="en-US"/>
                </w:rPr>
                <w:t xml:space="preserve">     </w:t>
              </w:r>
            </w:sdtContent>
          </w:sdt>
        </w:p>
      </w:sdtContent>
    </w:sdt>
    <w:p w14:paraId="25DB7A3B" w14:textId="77777777" w:rsidR="00FF512E" w:rsidRPr="00FF512E" w:rsidRDefault="00FF512E" w:rsidP="000E160C">
      <w:pPr>
        <w:numPr>
          <w:ilvl w:val="0"/>
          <w:numId w:val="3"/>
        </w:numPr>
        <w:spacing w:after="200"/>
        <w:jc w:val="both"/>
      </w:pPr>
      <w:r w:rsidRPr="00FF512E">
        <w:t>SOFIE Interledger use cases</w:t>
      </w:r>
    </w:p>
    <w:p w14:paraId="6FED036B" w14:textId="77777777" w:rsidR="00FF512E" w:rsidRPr="001A4C40" w:rsidRDefault="00FF512E" w:rsidP="000E160C">
      <w:pPr>
        <w:numPr>
          <w:ilvl w:val="1"/>
          <w:numId w:val="3"/>
        </w:numPr>
        <w:spacing w:after="200"/>
        <w:jc w:val="both"/>
      </w:pPr>
      <w:r w:rsidRPr="001A4C40">
        <w:lastRenderedPageBreak/>
        <w:t>food-supply-chain:</w:t>
      </w:r>
    </w:p>
    <w:p w14:paraId="72A925D7" w14:textId="77777777" w:rsidR="00FF512E" w:rsidRPr="001A4C40" w:rsidRDefault="00FF512E" w:rsidP="000E160C">
      <w:pPr>
        <w:numPr>
          <w:ilvl w:val="2"/>
          <w:numId w:val="3"/>
        </w:numPr>
        <w:spacing w:after="200"/>
        <w:jc w:val="both"/>
        <w:rPr>
          <w:lang w:val="en-US"/>
        </w:rPr>
      </w:pPr>
      <w:r w:rsidRPr="001A4C40">
        <w:rPr>
          <w:lang w:val="en-US"/>
        </w:rPr>
        <w:t xml:space="preserve">storing hashes of transactions (of a private ledger, even </w:t>
      </w:r>
      <w:r w:rsidRPr="00095598">
        <w:rPr>
          <w:highlight w:val="yellow"/>
          <w:lang w:val="en-US"/>
        </w:rPr>
        <w:t>db)</w:t>
      </w:r>
      <w:r w:rsidRPr="001A4C40">
        <w:rPr>
          <w:lang w:val="en-US"/>
        </w:rPr>
        <w:t xml:space="preserve"> to a public </w:t>
      </w:r>
      <w:r w:rsidR="00095598">
        <w:rPr>
          <w:lang w:val="en-US"/>
        </w:rPr>
        <w:t>P</w:t>
      </w:r>
      <w:r w:rsidRPr="001A4C40">
        <w:rPr>
          <w:lang w:val="en-US"/>
        </w:rPr>
        <w:t>DL</w:t>
      </w:r>
    </w:p>
    <w:p w14:paraId="5E1DA09D" w14:textId="77777777" w:rsidR="00FF512E" w:rsidRPr="00095598" w:rsidRDefault="00FF512E" w:rsidP="000E160C">
      <w:pPr>
        <w:numPr>
          <w:ilvl w:val="2"/>
          <w:numId w:val="3"/>
        </w:numPr>
        <w:spacing w:after="200"/>
        <w:jc w:val="both"/>
      </w:pPr>
      <w:r w:rsidRPr="00095598">
        <w:t>hierarchical DLT solutions</w:t>
      </w:r>
    </w:p>
    <w:p w14:paraId="31A79C73" w14:textId="77777777" w:rsidR="00FF512E" w:rsidRPr="00095598" w:rsidRDefault="00FF512E" w:rsidP="000E160C">
      <w:pPr>
        <w:numPr>
          <w:ilvl w:val="1"/>
          <w:numId w:val="3"/>
        </w:numPr>
        <w:spacing w:after="200"/>
        <w:jc w:val="both"/>
      </w:pPr>
      <w:r w:rsidRPr="00095598">
        <w:t>context aware mobile gaming ecosystem</w:t>
      </w:r>
    </w:p>
    <w:p w14:paraId="0629B375" w14:textId="77777777" w:rsidR="00FF512E" w:rsidRPr="000E160C" w:rsidRDefault="00FF512E" w:rsidP="000E160C">
      <w:pPr>
        <w:numPr>
          <w:ilvl w:val="0"/>
          <w:numId w:val="3"/>
        </w:numPr>
        <w:spacing w:after="200"/>
        <w:jc w:val="both"/>
      </w:pPr>
      <w:r w:rsidRPr="000E160C">
        <w:t>SOFIE Interledger component implementation</w:t>
      </w:r>
    </w:p>
    <w:p w14:paraId="08D65484" w14:textId="77777777" w:rsidR="00FF512E" w:rsidRPr="00FF512E" w:rsidRDefault="00FF512E" w:rsidP="00FF512E">
      <w:pPr>
        <w:jc w:val="both"/>
        <w:rPr>
          <w:sz w:val="36"/>
          <w:szCs w:val="36"/>
          <w:lang w:val="en-US"/>
        </w:rPr>
      </w:pPr>
    </w:p>
    <w:p w14:paraId="21750A98" w14:textId="77777777" w:rsidR="00FF512E" w:rsidRPr="00FF512E" w:rsidRDefault="00FF512E" w:rsidP="00FF512E">
      <w:pPr>
        <w:pStyle w:val="Ttulo1"/>
        <w:jc w:val="both"/>
        <w:rPr>
          <w:rFonts w:ascii="Times New Roman" w:hAnsi="Times New Roman"/>
          <w:u w:val="single"/>
        </w:rPr>
      </w:pPr>
      <w:r w:rsidRPr="00FF512E">
        <w:rPr>
          <w:rFonts w:ascii="Times New Roman" w:hAnsi="Times New Roman"/>
        </w:rPr>
        <w:t xml:space="preserve">9.    </w:t>
      </w:r>
      <w:r w:rsidRPr="00095598">
        <w:rPr>
          <w:rFonts w:ascii="Times New Roman" w:hAnsi="Times New Roman"/>
          <w:u w:val="single"/>
        </w:rPr>
        <w:t xml:space="preserve">PDL INTEROPERABILITY </w:t>
      </w:r>
      <w:commentRangeStart w:id="150"/>
      <w:r w:rsidRPr="00095598">
        <w:rPr>
          <w:rFonts w:ascii="Times New Roman" w:hAnsi="Times New Roman"/>
          <w:u w:val="single"/>
        </w:rPr>
        <w:t>REQUIREMENTS</w:t>
      </w:r>
      <w:commentRangeEnd w:id="150"/>
      <w:r w:rsidRPr="00FF512E">
        <w:rPr>
          <w:rStyle w:val="Refdecomentario"/>
          <w:rFonts w:ascii="Times New Roman" w:eastAsia="Times New Roman" w:hAnsi="Times New Roman"/>
          <w:lang w:val="es-ES" w:eastAsia="es-ES_tradnl"/>
        </w:rPr>
        <w:commentReference w:id="150"/>
      </w:r>
      <w:r w:rsidRPr="00FF512E">
        <w:rPr>
          <w:rFonts w:ascii="Times New Roman" w:hAnsi="Times New Roman"/>
          <w:u w:val="single"/>
        </w:rPr>
        <w:t xml:space="preserve">  </w:t>
      </w:r>
    </w:p>
    <w:p w14:paraId="22243D5E" w14:textId="77777777" w:rsidR="00FF512E" w:rsidRPr="00095598" w:rsidRDefault="00FF512E" w:rsidP="00095598">
      <w:pPr>
        <w:jc w:val="both"/>
        <w:rPr>
          <w:szCs w:val="36"/>
          <w:lang w:val="en-US"/>
        </w:rPr>
      </w:pPr>
      <w:r w:rsidRPr="00FF512E">
        <w:rPr>
          <w:rFonts w:eastAsiaTheme="minorEastAsia"/>
          <w:sz w:val="36"/>
          <w:szCs w:val="20"/>
          <w:lang w:val="en-GB" w:eastAsia="en-US"/>
        </w:rPr>
        <w:t>9</w:t>
      </w:r>
      <w:r w:rsidRPr="00095598">
        <w:rPr>
          <w:rFonts w:eastAsiaTheme="minorEastAsia"/>
          <w:sz w:val="36"/>
          <w:szCs w:val="36"/>
          <w:lang w:val="en-GB" w:eastAsia="en-US"/>
        </w:rPr>
        <w:t>.</w:t>
      </w:r>
      <w:r w:rsidRPr="00095598">
        <w:rPr>
          <w:sz w:val="36"/>
          <w:szCs w:val="36"/>
          <w:lang w:val="en-GB" w:eastAsia="en-US"/>
        </w:rPr>
        <w:t xml:space="preserve">1 </w:t>
      </w:r>
      <w:r w:rsidRPr="00FF512E">
        <w:rPr>
          <w:sz w:val="36"/>
          <w:szCs w:val="36"/>
          <w:lang w:val="en-GB" w:eastAsia="en-US"/>
        </w:rPr>
        <w:t xml:space="preserve"> </w:t>
      </w:r>
      <w:r w:rsidRPr="00095598">
        <w:rPr>
          <w:sz w:val="36"/>
          <w:szCs w:val="36"/>
          <w:lang w:val="en-GB" w:eastAsia="en-US"/>
        </w:rPr>
        <w:t>Who will interoperate with</w:t>
      </w:r>
      <w:r w:rsidRPr="00FF512E">
        <w:rPr>
          <w:sz w:val="36"/>
          <w:szCs w:val="36"/>
          <w:lang w:val="en-GB" w:eastAsia="en-US"/>
        </w:rPr>
        <w:t xml:space="preserve"> </w:t>
      </w:r>
      <w:r w:rsidRPr="00095598">
        <w:rPr>
          <w:sz w:val="36"/>
          <w:szCs w:val="36"/>
          <w:highlight w:val="lightGray"/>
          <w:lang w:val="en-GB" w:eastAsia="en-US"/>
        </w:rPr>
        <w:t>(checklist from WEF)</w:t>
      </w:r>
    </w:p>
    <w:p w14:paraId="6352F1F3" w14:textId="77777777" w:rsidR="00FF512E" w:rsidRPr="00FF512E" w:rsidRDefault="00BE44EF" w:rsidP="00FF512E">
      <w:pPr>
        <w:jc w:val="both"/>
        <w:rPr>
          <w:szCs w:val="36"/>
          <w:lang w:val="en-US"/>
        </w:rPr>
      </w:pPr>
      <w:hyperlink r:id="rId39" w:history="1">
        <w:r w:rsidR="00FF512E" w:rsidRPr="00FF512E">
          <w:rPr>
            <w:rStyle w:val="Hipervnculo"/>
            <w:szCs w:val="36"/>
            <w:lang w:val="en-US"/>
          </w:rPr>
          <w:t>http://www3.weforum.org/docs/WEF_A_Framework_for_Blockchain_Interoperability_2020.pdf</w:t>
        </w:r>
      </w:hyperlink>
    </w:p>
    <w:p w14:paraId="0018D6F7" w14:textId="77777777" w:rsidR="00FF512E" w:rsidRDefault="00FF512E" w:rsidP="00FF512E">
      <w:pPr>
        <w:jc w:val="both"/>
        <w:rPr>
          <w:szCs w:val="36"/>
          <w:lang w:val="en-US"/>
        </w:rPr>
      </w:pPr>
    </w:p>
    <w:p w14:paraId="53FB737B" w14:textId="77777777" w:rsidR="001A4C40" w:rsidRDefault="001A4C40" w:rsidP="00FF512E">
      <w:pPr>
        <w:jc w:val="both"/>
        <w:rPr>
          <w:szCs w:val="36"/>
          <w:lang w:val="en-US"/>
        </w:rPr>
      </w:pPr>
      <w:r>
        <w:rPr>
          <w:szCs w:val="36"/>
          <w:lang w:val="en-US"/>
        </w:rPr>
        <w:t>With the aim to enable PDL between other PDL, interoperability is explored by WEF with a simplistic approach by questioning what platform do we use? Or why don´t we simply enhance our communication protocols to application programming interfaces? In conclusion there is a checklist for interoperability requirements based in three facets:</w:t>
      </w:r>
    </w:p>
    <w:p w14:paraId="708A26E6" w14:textId="77777777" w:rsidR="00FF512E" w:rsidRDefault="00FF512E" w:rsidP="00FF512E">
      <w:pPr>
        <w:jc w:val="both"/>
        <w:rPr>
          <w:szCs w:val="36"/>
          <w:lang w:val="en-US"/>
        </w:rPr>
      </w:pPr>
    </w:p>
    <w:p w14:paraId="7F033EA3" w14:textId="77777777" w:rsidR="00FF512E" w:rsidRPr="001A4C40" w:rsidRDefault="00FF512E" w:rsidP="001A4C40">
      <w:pPr>
        <w:pStyle w:val="Prrafodelista"/>
        <w:numPr>
          <w:ilvl w:val="0"/>
          <w:numId w:val="13"/>
        </w:numPr>
        <w:jc w:val="both"/>
        <w:rPr>
          <w:szCs w:val="36"/>
          <w:lang w:val="en-US"/>
        </w:rPr>
      </w:pPr>
      <w:r w:rsidRPr="001A4C40">
        <w:rPr>
          <w:szCs w:val="36"/>
          <w:lang w:val="en-US"/>
        </w:rPr>
        <w:t>Business interoperability requirements;</w:t>
      </w:r>
    </w:p>
    <w:p w14:paraId="3A86E16F" w14:textId="77777777" w:rsidR="00FF512E" w:rsidRPr="001A4C40" w:rsidRDefault="00FF512E" w:rsidP="001A4C40">
      <w:pPr>
        <w:pStyle w:val="Prrafodelista"/>
        <w:numPr>
          <w:ilvl w:val="0"/>
          <w:numId w:val="13"/>
        </w:numPr>
        <w:jc w:val="both"/>
        <w:rPr>
          <w:szCs w:val="36"/>
          <w:lang w:val="en-US"/>
        </w:rPr>
      </w:pPr>
      <w:r w:rsidRPr="001A4C40">
        <w:rPr>
          <w:szCs w:val="36"/>
          <w:lang w:val="en-US"/>
        </w:rPr>
        <w:t>Platform interoperability requirements;</w:t>
      </w:r>
    </w:p>
    <w:p w14:paraId="638340A7" w14:textId="77777777" w:rsidR="00FF512E" w:rsidRPr="00095598" w:rsidRDefault="00FF512E" w:rsidP="00095598">
      <w:pPr>
        <w:pStyle w:val="Prrafodelista"/>
        <w:numPr>
          <w:ilvl w:val="0"/>
          <w:numId w:val="13"/>
        </w:numPr>
        <w:jc w:val="both"/>
        <w:rPr>
          <w:rFonts w:eastAsia="Times New Roman"/>
          <w:sz w:val="24"/>
          <w:szCs w:val="36"/>
          <w:lang w:val="en-US" w:eastAsia="es-ES_tradnl"/>
        </w:rPr>
      </w:pPr>
      <w:r w:rsidRPr="001A4C40">
        <w:rPr>
          <w:szCs w:val="36"/>
          <w:lang w:val="en-US"/>
        </w:rPr>
        <w:t>Infrastrucutre interoperability requirements.</w:t>
      </w:r>
    </w:p>
    <w:p w14:paraId="3D5444FF" w14:textId="77777777" w:rsidR="00FF512E" w:rsidRPr="00FF512E" w:rsidRDefault="00FF512E" w:rsidP="00FF512E">
      <w:pPr>
        <w:jc w:val="both"/>
        <w:rPr>
          <w:sz w:val="36"/>
          <w:szCs w:val="36"/>
          <w:lang w:val="en-GB" w:eastAsia="en-US"/>
        </w:rPr>
      </w:pPr>
      <w:r w:rsidRPr="00FF512E">
        <w:rPr>
          <w:sz w:val="36"/>
          <w:szCs w:val="36"/>
          <w:lang w:val="en-GB" w:eastAsia="en-US"/>
        </w:rPr>
        <w:t xml:space="preserve">9.2. What information do you need to exchange </w:t>
      </w:r>
      <w:r w:rsidRPr="00B406D5">
        <w:rPr>
          <w:sz w:val="36"/>
          <w:szCs w:val="36"/>
          <w:lang w:val="en-GB" w:eastAsia="en-US"/>
        </w:rPr>
        <w:t>What a user wants in terms of exchange and what the stakeholders allow</w:t>
      </w:r>
    </w:p>
    <w:p w14:paraId="64E7CDEA" w14:textId="77777777" w:rsidR="000E160C" w:rsidRDefault="000E160C" w:rsidP="000E160C">
      <w:pPr>
        <w:jc w:val="both"/>
        <w:rPr>
          <w:lang w:val="en-GB" w:eastAsia="en-US"/>
        </w:rPr>
      </w:pPr>
    </w:p>
    <w:p w14:paraId="2BD37DB3" w14:textId="77777777" w:rsidR="00FF512E" w:rsidRDefault="00FF512E" w:rsidP="000E160C">
      <w:pPr>
        <w:jc w:val="both"/>
        <w:rPr>
          <w:sz w:val="36"/>
          <w:szCs w:val="36"/>
          <w:lang w:val="en-GB" w:eastAsia="en-US"/>
        </w:rPr>
      </w:pPr>
      <w:r w:rsidRPr="00095598">
        <w:rPr>
          <w:lang w:val="en-GB" w:eastAsia="en-US"/>
        </w:rPr>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w:t>
      </w:r>
      <w:r w:rsidR="000E160C">
        <w:rPr>
          <w:lang w:val="en-GB" w:eastAsia="en-US"/>
        </w:rPr>
        <w:t xml:space="preserve"> </w:t>
      </w:r>
      <w:r w:rsidRPr="00095598">
        <w:rPr>
          <w:lang w:val="en-GB" w:eastAsia="en-US"/>
        </w:rPr>
        <w:t>networks to be accountable for user/consumer protection</w:t>
      </w:r>
      <w:r w:rsidRPr="00FF512E">
        <w:rPr>
          <w:sz w:val="36"/>
          <w:szCs w:val="36"/>
          <w:lang w:val="en-GB" w:eastAsia="en-US"/>
        </w:rPr>
        <w:t>.</w:t>
      </w:r>
    </w:p>
    <w:p w14:paraId="6B8A00E2" w14:textId="77777777" w:rsidR="00C45D74" w:rsidRPr="00095598" w:rsidRDefault="00C45D74" w:rsidP="000E160C">
      <w:pPr>
        <w:jc w:val="both"/>
        <w:rPr>
          <w:szCs w:val="36"/>
          <w:lang w:val="en-US"/>
        </w:rPr>
      </w:pPr>
    </w:p>
    <w:p w14:paraId="2850DB89" w14:textId="77777777" w:rsidR="00FF512E" w:rsidRDefault="00FF512E" w:rsidP="00095598">
      <w:pPr>
        <w:jc w:val="both"/>
        <w:rPr>
          <w:sz w:val="36"/>
          <w:szCs w:val="36"/>
          <w:lang w:val="en-GB" w:eastAsia="en-US"/>
        </w:rPr>
      </w:pPr>
      <w:r w:rsidRPr="00FF512E">
        <w:rPr>
          <w:sz w:val="36"/>
          <w:szCs w:val="36"/>
          <w:lang w:val="en-GB" w:eastAsia="en-US"/>
        </w:rPr>
        <w:t xml:space="preserve">9.3. </w:t>
      </w:r>
      <w:r w:rsidRPr="000E160C">
        <w:rPr>
          <w:sz w:val="36"/>
          <w:szCs w:val="36"/>
          <w:highlight w:val="yellow"/>
          <w:lang w:val="en-GB" w:eastAsia="en-US"/>
        </w:rPr>
        <w:t>Which are the operations allowed</w:t>
      </w:r>
    </w:p>
    <w:p w14:paraId="4102CCF1" w14:textId="77777777" w:rsidR="00C45D74" w:rsidRDefault="00C45D74" w:rsidP="00095598">
      <w:pPr>
        <w:jc w:val="both"/>
        <w:rPr>
          <w:color w:val="FF0000"/>
          <w:sz w:val="36"/>
          <w:szCs w:val="36"/>
          <w:lang w:val="en-GB" w:eastAsia="en-US"/>
        </w:rPr>
      </w:pPr>
    </w:p>
    <w:p w14:paraId="237D1FE8" w14:textId="77777777" w:rsidR="00C45D74" w:rsidRDefault="00C45D74" w:rsidP="00095598">
      <w:pPr>
        <w:jc w:val="both"/>
        <w:rPr>
          <w:color w:val="FF0000"/>
          <w:szCs w:val="36"/>
          <w:lang w:val="en-US"/>
        </w:rPr>
      </w:pPr>
      <w:r>
        <w:rPr>
          <w:color w:val="FF0000"/>
          <w:szCs w:val="36"/>
          <w:lang w:val="en-US"/>
        </w:rPr>
        <w:t>Considering that a PDL c</w:t>
      </w:r>
      <w:r w:rsidR="006171D4">
        <w:rPr>
          <w:color w:val="FF0000"/>
          <w:szCs w:val="36"/>
          <w:lang w:val="en-US"/>
        </w:rPr>
        <w:t>an</w:t>
      </w:r>
      <w:r>
        <w:rPr>
          <w:color w:val="FF0000"/>
          <w:szCs w:val="36"/>
          <w:lang w:val="en-US"/>
        </w:rPr>
        <w:t xml:space="preserve"> have a general purpose or specific purpose the range of operations allowed will be determined by the purpose of the network in the PDL.</w:t>
      </w:r>
      <w:r w:rsidR="006171D4">
        <w:rPr>
          <w:color w:val="FF0000"/>
          <w:szCs w:val="36"/>
          <w:lang w:val="en-US"/>
        </w:rPr>
        <w:t xml:space="preserve">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another situations perform bidirectionally with an in-put and out-put layer or with elements that are perform</w:t>
      </w:r>
      <w:r w:rsidR="00B406D5">
        <w:rPr>
          <w:color w:val="FF0000"/>
          <w:szCs w:val="36"/>
          <w:lang w:val="en-US"/>
        </w:rPr>
        <w:t>ed</w:t>
      </w:r>
      <w:r w:rsidR="006171D4">
        <w:rPr>
          <w:color w:val="FF0000"/>
          <w:szCs w:val="36"/>
          <w:lang w:val="en-US"/>
        </w:rPr>
        <w:t xml:space="preserve"> in a common ledger</w:t>
      </w:r>
      <w:r w:rsidR="009D6245">
        <w:rPr>
          <w:color w:val="FF0000"/>
          <w:szCs w:val="36"/>
          <w:lang w:val="en-US"/>
        </w:rPr>
        <w:t xml:space="preserve"> or replicated in its PDL</w:t>
      </w:r>
      <w:r w:rsidR="006171D4">
        <w:rPr>
          <w:color w:val="FF0000"/>
          <w:szCs w:val="36"/>
          <w:lang w:val="en-US"/>
        </w:rPr>
        <w:t xml:space="preserve">. </w:t>
      </w:r>
      <w:r w:rsidR="009D6245">
        <w:rPr>
          <w:color w:val="FF0000"/>
          <w:szCs w:val="36"/>
          <w:lang w:val="en-US"/>
        </w:rPr>
        <w:t xml:space="preserve">To decrease the uncertainty </w:t>
      </w:r>
      <w:r w:rsidR="006E3AF7">
        <w:rPr>
          <w:color w:val="FF0000"/>
          <w:szCs w:val="36"/>
          <w:lang w:val="en-US"/>
        </w:rPr>
        <w:t>with</w:t>
      </w:r>
      <w:r w:rsidR="009D6245">
        <w:rPr>
          <w:color w:val="FF0000"/>
          <w:szCs w:val="36"/>
          <w:lang w:val="en-US"/>
        </w:rPr>
        <w:t xml:space="preserve"> the ability of interoperability is</w:t>
      </w:r>
      <w:r w:rsidR="00B406D5">
        <w:rPr>
          <w:color w:val="FF0000"/>
          <w:szCs w:val="36"/>
          <w:lang w:val="en-US"/>
        </w:rPr>
        <w:t xml:space="preserve"> useful by</w:t>
      </w:r>
      <w:r w:rsidR="009D6245">
        <w:rPr>
          <w:color w:val="FF0000"/>
          <w:szCs w:val="36"/>
          <w:lang w:val="en-US"/>
        </w:rPr>
        <w:t xml:space="preserve"> </w:t>
      </w:r>
      <w:r w:rsidR="006E3AF7">
        <w:rPr>
          <w:color w:val="FF0000"/>
          <w:szCs w:val="36"/>
          <w:lang w:val="en-US"/>
        </w:rPr>
        <w:t xml:space="preserve">providing some guidelines with the minimum security level for interoperability and maintaining a contingent program to anticipate vulnerabilities whereby by </w:t>
      </w:r>
      <w:r w:rsidR="006E3AF7">
        <w:rPr>
          <w:color w:val="FF0000"/>
          <w:szCs w:val="36"/>
          <w:lang w:val="en-US"/>
        </w:rPr>
        <w:lastRenderedPageBreak/>
        <w:t>defining the operations allowed and the requirements to establish interoperability</w:t>
      </w:r>
      <w:r w:rsidR="00256258">
        <w:rPr>
          <w:color w:val="FF0000"/>
          <w:szCs w:val="36"/>
          <w:lang w:val="en-US"/>
        </w:rPr>
        <w:t>, it</w:t>
      </w:r>
      <w:r w:rsidR="006E3AF7">
        <w:rPr>
          <w:color w:val="FF0000"/>
          <w:szCs w:val="36"/>
          <w:lang w:val="en-US"/>
        </w:rPr>
        <w:t xml:space="preserve"> can enhance the certainty for interoperability.</w:t>
      </w:r>
      <w:r w:rsidR="00B406D5">
        <w:rPr>
          <w:color w:val="FF0000"/>
          <w:szCs w:val="36"/>
          <w:lang w:val="en-US"/>
        </w:rPr>
        <w:t xml:space="preserve"> </w:t>
      </w:r>
    </w:p>
    <w:p w14:paraId="123DBF68" w14:textId="77777777" w:rsidR="006171D4" w:rsidRPr="00C45D74" w:rsidRDefault="006171D4" w:rsidP="00095598">
      <w:pPr>
        <w:jc w:val="both"/>
        <w:rPr>
          <w:color w:val="FF0000"/>
          <w:szCs w:val="36"/>
          <w:lang w:val="en-US"/>
        </w:rPr>
      </w:pPr>
    </w:p>
    <w:p w14:paraId="65E4AE21" w14:textId="77777777" w:rsidR="00B406D5" w:rsidRDefault="00FF512E" w:rsidP="00FF512E">
      <w:pPr>
        <w:jc w:val="both"/>
        <w:rPr>
          <w:lang w:val="en-GB" w:eastAsia="en-US"/>
        </w:rPr>
      </w:pPr>
      <w:r w:rsidRPr="00FF512E">
        <w:rPr>
          <w:sz w:val="36"/>
          <w:szCs w:val="36"/>
          <w:lang w:val="en-GB" w:eastAsia="en-US"/>
        </w:rPr>
        <w:t xml:space="preserve">9.4. </w:t>
      </w:r>
      <w:r w:rsidRPr="00095598">
        <w:rPr>
          <w:sz w:val="36"/>
          <w:szCs w:val="36"/>
          <w:lang w:val="en-GB" w:eastAsia="en-US"/>
        </w:rPr>
        <w:t>Traceability and auditability:</w:t>
      </w:r>
      <w:r w:rsidR="00B406D5">
        <w:rPr>
          <w:sz w:val="36"/>
          <w:szCs w:val="36"/>
          <w:lang w:val="en-GB" w:eastAsia="en-US"/>
        </w:rPr>
        <w:t xml:space="preserve"> </w:t>
      </w:r>
      <w:r w:rsidR="00B406D5" w:rsidRPr="00B406D5">
        <w:rPr>
          <w:sz w:val="36"/>
          <w:szCs w:val="36"/>
          <w:highlight w:val="yellow"/>
          <w:lang w:val="en-GB" w:eastAsia="en-US"/>
        </w:rPr>
        <w:t>how/why and when?</w:t>
      </w:r>
    </w:p>
    <w:p w14:paraId="10F90E6B" w14:textId="77777777" w:rsidR="00B406D5" w:rsidRDefault="00B406D5" w:rsidP="00FF512E">
      <w:pPr>
        <w:jc w:val="both"/>
        <w:rPr>
          <w:lang w:val="en-GB" w:eastAsia="en-US"/>
        </w:rPr>
      </w:pPr>
    </w:p>
    <w:p w14:paraId="3DAADDF6" w14:textId="77777777" w:rsidR="00FF512E" w:rsidRPr="00095598" w:rsidRDefault="00B406D5" w:rsidP="00FF512E">
      <w:pPr>
        <w:jc w:val="both"/>
        <w:rPr>
          <w:lang w:val="en-GB" w:eastAsia="en-US"/>
        </w:rPr>
      </w:pPr>
      <w:r>
        <w:rPr>
          <w:lang w:val="en-GB" w:eastAsia="en-US"/>
        </w:rPr>
        <w:t>E</w:t>
      </w:r>
      <w:r w:rsidR="00FF512E" w:rsidRPr="00095598">
        <w:rPr>
          <w:lang w:val="en-GB" w:eastAsia="en-US"/>
        </w:rPr>
        <w:t xml:space="preserve">vents have to be traceable otherwise will not be able to cross-domain and the performance, integrity and authenticity of the interoperability has to be auditable. Keeping records/logs of transactions will allow to roll back in case of discrepancy. </w:t>
      </w:r>
    </w:p>
    <w:p w14:paraId="5F11FDF5" w14:textId="77777777" w:rsidR="00FF512E" w:rsidRPr="00095598" w:rsidRDefault="00FF512E" w:rsidP="00FF512E">
      <w:pPr>
        <w:jc w:val="both"/>
        <w:rPr>
          <w:lang w:val="en-GB" w:eastAsia="en-US"/>
        </w:rPr>
      </w:pPr>
      <w:r w:rsidRPr="00095598">
        <w:rPr>
          <w:lang w:val="en-GB" w:eastAsia="en-US"/>
        </w:rPr>
        <w:t xml:space="preserve">Time-stamping consideration of the perfected interest between the two PDLs for interoperability is essential to ensure proper sequence of events. </w:t>
      </w:r>
    </w:p>
    <w:p w14:paraId="504886CE" w14:textId="77777777" w:rsidR="00FF512E" w:rsidRPr="00095598" w:rsidRDefault="00FF512E" w:rsidP="00FF512E">
      <w:pPr>
        <w:jc w:val="both"/>
        <w:rPr>
          <w:lang w:val="en-GB" w:eastAsia="en-US"/>
        </w:rPr>
      </w:pPr>
      <w:r w:rsidRPr="00095598">
        <w:rPr>
          <w:lang w:val="en-GB" w:eastAsia="en-US"/>
        </w:rPr>
        <w:t>It is recommended that the sequence of events has to pre-synchronise the atomic clock and other circumstances related to the configuration to mitigate risks and/or provide alternative responsive mechanism for interoperability.</w:t>
      </w:r>
    </w:p>
    <w:p w14:paraId="09686EC5" w14:textId="77777777" w:rsidR="00FF512E" w:rsidRPr="00095598" w:rsidRDefault="00FF512E" w:rsidP="00095598">
      <w:pPr>
        <w:jc w:val="both"/>
        <w:rPr>
          <w:szCs w:val="36"/>
          <w:lang w:val="en-US"/>
        </w:rPr>
      </w:pPr>
    </w:p>
    <w:p w14:paraId="066E3E8E" w14:textId="77777777" w:rsidR="00FF512E" w:rsidRDefault="00FF512E" w:rsidP="00095598">
      <w:pPr>
        <w:jc w:val="both"/>
        <w:rPr>
          <w:sz w:val="36"/>
          <w:szCs w:val="36"/>
          <w:lang w:val="en-GB" w:eastAsia="en-US"/>
        </w:rPr>
      </w:pPr>
      <w:r w:rsidRPr="00FF512E">
        <w:rPr>
          <w:sz w:val="36"/>
          <w:szCs w:val="36"/>
          <w:lang w:val="en-GB" w:eastAsia="en-US"/>
        </w:rPr>
        <w:t xml:space="preserve">9.5. Future-proof </w:t>
      </w:r>
      <w:r w:rsidRPr="000E160C">
        <w:rPr>
          <w:sz w:val="36"/>
          <w:szCs w:val="36"/>
          <w:highlight w:val="yellow"/>
          <w:lang w:val="en-GB" w:eastAsia="en-US"/>
        </w:rPr>
        <w:t>(need for contributors discussion is about post-quatum ???)</w:t>
      </w:r>
    </w:p>
    <w:p w14:paraId="4E628FE6" w14:textId="77777777" w:rsidR="00C45D74" w:rsidRDefault="00C45D74" w:rsidP="00095598">
      <w:pPr>
        <w:jc w:val="both"/>
        <w:rPr>
          <w:sz w:val="36"/>
          <w:szCs w:val="36"/>
          <w:lang w:val="en-GB" w:eastAsia="en-US"/>
        </w:rPr>
      </w:pPr>
    </w:p>
    <w:p w14:paraId="36373AE1" w14:textId="77777777" w:rsidR="00C45D74" w:rsidRPr="00C45D74" w:rsidRDefault="00BE44EF" w:rsidP="00095598">
      <w:pPr>
        <w:jc w:val="both"/>
        <w:rPr>
          <w:lang w:val="en-GB" w:eastAsia="en-US"/>
        </w:rPr>
      </w:pPr>
      <w:hyperlink r:id="rId40" w:history="1">
        <w:r w:rsidR="007F2F31" w:rsidRPr="00B70804">
          <w:rPr>
            <w:rStyle w:val="Hipervnculo"/>
            <w:lang w:val="en-GB" w:eastAsia="en-US"/>
          </w:rPr>
          <w:t>https://publications.iadb.org/publications/english/document/Quantum-Resistance-in-Blockchain-Networks.pdf</w:t>
        </w:r>
      </w:hyperlink>
      <w:r w:rsidR="007F2F31">
        <w:rPr>
          <w:lang w:val="en-GB" w:eastAsia="en-US"/>
        </w:rPr>
        <w:t xml:space="preserve"> </w:t>
      </w:r>
    </w:p>
    <w:p w14:paraId="7FDA98C9" w14:textId="77777777" w:rsidR="00C45D74" w:rsidRPr="00095598" w:rsidRDefault="00C45D74" w:rsidP="00095598">
      <w:pPr>
        <w:jc w:val="both"/>
        <w:rPr>
          <w:szCs w:val="36"/>
          <w:lang w:val="en-US"/>
        </w:rPr>
      </w:pPr>
    </w:p>
    <w:p w14:paraId="00244911" w14:textId="77777777" w:rsidR="00FF512E" w:rsidRPr="00095598" w:rsidRDefault="00FF512E" w:rsidP="00095598">
      <w:pPr>
        <w:jc w:val="both"/>
        <w:rPr>
          <w:lang w:val="en-US"/>
        </w:rPr>
      </w:pPr>
      <w:r w:rsidRPr="00FF512E">
        <w:rPr>
          <w:sz w:val="36"/>
          <w:szCs w:val="36"/>
          <w:lang w:val="en-GB" w:eastAsia="en-US"/>
        </w:rPr>
        <w:t xml:space="preserve">9.6. Minimal viable governance </w:t>
      </w:r>
    </w:p>
    <w:p w14:paraId="0B13AFFA" w14:textId="77777777" w:rsidR="00FF512E" w:rsidRPr="00FF512E" w:rsidRDefault="00FF512E" w:rsidP="00095598">
      <w:pPr>
        <w:jc w:val="both"/>
        <w:rPr>
          <w:lang w:val="en-US"/>
        </w:rPr>
      </w:pPr>
    </w:p>
    <w:p w14:paraId="0D52B00A" w14:textId="77777777" w:rsidR="00FF512E" w:rsidRPr="00FF512E" w:rsidRDefault="00FF512E" w:rsidP="00095598">
      <w:pPr>
        <w:jc w:val="both"/>
        <w:rPr>
          <w:rFonts w:eastAsiaTheme="minorEastAsia"/>
          <w:lang w:val="en-GB" w:eastAsia="en-US"/>
        </w:rPr>
      </w:pPr>
      <w:r w:rsidRPr="00FF512E">
        <w:rPr>
          <w:rFonts w:eastAsiaTheme="minorEastAsia"/>
          <w:lang w:val="en-GB" w:eastAsia="en-US"/>
        </w:rPr>
        <w:t xml:space="preserve">A PDL requires a clear definition on the lifecycle whereby the minimal viable governance guidance is going to be implemented: initialization, operation and termination. At the same </w:t>
      </w:r>
    </w:p>
    <w:p w14:paraId="3838238D" w14:textId="77777777" w:rsidR="00FF512E" w:rsidRPr="00095598" w:rsidRDefault="00FF512E" w:rsidP="00095598">
      <w:pPr>
        <w:jc w:val="both"/>
        <w:rPr>
          <w:lang w:val="en-US"/>
        </w:rPr>
      </w:pPr>
      <w:r w:rsidRPr="00FF512E">
        <w:rPr>
          <w:rFonts w:eastAsiaTheme="minorEastAsia"/>
          <w:lang w:val="en-GB" w:eastAsia="en-US"/>
        </w:rPr>
        <w:t>time, it is necessary to make a perimeter on the context per each phase of the lifecycle where the roles and application´s policies and rules are easy to audit and provide efficacy on the accountability.</w:t>
      </w:r>
    </w:p>
    <w:p w14:paraId="5CB89E15" w14:textId="77777777" w:rsidR="00FF512E" w:rsidRPr="00095598" w:rsidRDefault="00FF512E" w:rsidP="00095598">
      <w:pPr>
        <w:jc w:val="both"/>
        <w:rPr>
          <w:lang w:val="en-US"/>
        </w:rPr>
      </w:pPr>
    </w:p>
    <w:p w14:paraId="319577FA" w14:textId="77777777" w:rsidR="00FF512E" w:rsidRPr="00095598" w:rsidRDefault="00FF512E" w:rsidP="00095598">
      <w:pPr>
        <w:jc w:val="both"/>
        <w:rPr>
          <w:lang w:val="en-US"/>
        </w:rPr>
      </w:pPr>
    </w:p>
    <w:p w14:paraId="4E287E52" w14:textId="77777777" w:rsidR="00FF512E" w:rsidRPr="00095598" w:rsidRDefault="00FF512E" w:rsidP="00095598">
      <w:pPr>
        <w:jc w:val="both"/>
        <w:rPr>
          <w:lang w:val="en-US"/>
        </w:rPr>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FF512E" w:rsidRPr="00FF512E" w14:paraId="01AE2F49" w14:textId="77777777" w:rsidTr="00CC5A18">
        <w:tc>
          <w:tcPr>
            <w:tcW w:w="2828" w:type="dxa"/>
          </w:tcPr>
          <w:p w14:paraId="0282FB17" w14:textId="77777777" w:rsidR="00FF512E" w:rsidRPr="00FF512E" w:rsidRDefault="00FF512E" w:rsidP="00095598">
            <w:pPr>
              <w:jc w:val="both"/>
              <w:rPr>
                <w:rFonts w:eastAsiaTheme="minorEastAsia"/>
                <w:lang w:eastAsia="en-US"/>
              </w:rPr>
            </w:pPr>
          </w:p>
        </w:tc>
        <w:tc>
          <w:tcPr>
            <w:tcW w:w="1986" w:type="dxa"/>
          </w:tcPr>
          <w:p w14:paraId="75E75906" w14:textId="77777777" w:rsidR="00FF512E" w:rsidRPr="00FF512E" w:rsidRDefault="00FF512E" w:rsidP="00095598">
            <w:pPr>
              <w:jc w:val="both"/>
              <w:rPr>
                <w:rFonts w:eastAsiaTheme="minorEastAsia"/>
                <w:lang w:eastAsia="en-US"/>
              </w:rPr>
            </w:pPr>
            <w:r w:rsidRPr="00FF512E">
              <w:rPr>
                <w:rFonts w:eastAsiaTheme="minorEastAsia"/>
                <w:lang w:eastAsia="en-US"/>
              </w:rPr>
              <w:t>INITIALIZATION</w:t>
            </w:r>
          </w:p>
        </w:tc>
        <w:tc>
          <w:tcPr>
            <w:tcW w:w="2407" w:type="dxa"/>
          </w:tcPr>
          <w:p w14:paraId="474F39D0" w14:textId="77777777" w:rsidR="00FF512E" w:rsidRPr="00FF512E" w:rsidRDefault="00FF512E" w:rsidP="00095598">
            <w:pPr>
              <w:jc w:val="both"/>
              <w:rPr>
                <w:rFonts w:eastAsiaTheme="minorEastAsia"/>
                <w:lang w:eastAsia="en-US"/>
              </w:rPr>
            </w:pPr>
            <w:r w:rsidRPr="00FF512E">
              <w:rPr>
                <w:rFonts w:eastAsiaTheme="minorEastAsia"/>
                <w:lang w:eastAsia="en-US"/>
              </w:rPr>
              <w:t>OPERATION</w:t>
            </w:r>
          </w:p>
        </w:tc>
        <w:tc>
          <w:tcPr>
            <w:tcW w:w="2408" w:type="dxa"/>
          </w:tcPr>
          <w:p w14:paraId="4569AA11" w14:textId="77777777" w:rsidR="00FF512E" w:rsidRPr="00FF512E" w:rsidRDefault="00FF512E" w:rsidP="00095598">
            <w:pPr>
              <w:jc w:val="both"/>
              <w:rPr>
                <w:rFonts w:eastAsiaTheme="minorEastAsia"/>
                <w:lang w:eastAsia="en-US"/>
              </w:rPr>
            </w:pPr>
            <w:r w:rsidRPr="00FF512E">
              <w:rPr>
                <w:rFonts w:eastAsiaTheme="minorEastAsia"/>
                <w:lang w:eastAsia="en-US"/>
              </w:rPr>
              <w:t>TERMINATION</w:t>
            </w:r>
          </w:p>
        </w:tc>
      </w:tr>
      <w:tr w:rsidR="00FF512E" w:rsidRPr="00FF512E" w14:paraId="34E24711" w14:textId="77777777" w:rsidTr="00CC5A18">
        <w:tc>
          <w:tcPr>
            <w:tcW w:w="2828" w:type="dxa"/>
          </w:tcPr>
          <w:p w14:paraId="1258C695" w14:textId="77777777" w:rsidR="00FF512E" w:rsidRPr="00FF512E" w:rsidRDefault="00FF512E" w:rsidP="00095598">
            <w:pPr>
              <w:tabs>
                <w:tab w:val="left" w:pos="480"/>
              </w:tabs>
              <w:jc w:val="both"/>
              <w:rPr>
                <w:rFonts w:eastAsiaTheme="minorEastAsia"/>
                <w:lang w:eastAsia="en-US"/>
              </w:rPr>
            </w:pPr>
            <w:r w:rsidRPr="00FF512E">
              <w:rPr>
                <w:rFonts w:eastAsiaTheme="minorEastAsia"/>
                <w:lang w:eastAsia="en-US"/>
              </w:rPr>
              <w:t>PROTOCOL CONTEXT</w:t>
            </w:r>
          </w:p>
        </w:tc>
        <w:tc>
          <w:tcPr>
            <w:tcW w:w="1986" w:type="dxa"/>
          </w:tcPr>
          <w:p w14:paraId="72C70B69" w14:textId="77777777" w:rsidR="00FF512E" w:rsidRPr="00FF512E" w:rsidRDefault="00FF512E" w:rsidP="00095598">
            <w:pPr>
              <w:jc w:val="both"/>
              <w:rPr>
                <w:rFonts w:eastAsiaTheme="minorEastAsia"/>
                <w:lang w:eastAsia="en-US"/>
              </w:rPr>
            </w:pPr>
            <w:r w:rsidRPr="00FF512E">
              <w:rPr>
                <w:rFonts w:eastAsiaTheme="minorEastAsia"/>
                <w:lang w:eastAsia="en-US"/>
              </w:rPr>
              <w:t>Genesis Block, establishment of interoperability</w:t>
            </w:r>
          </w:p>
        </w:tc>
        <w:tc>
          <w:tcPr>
            <w:tcW w:w="2407" w:type="dxa"/>
          </w:tcPr>
          <w:p w14:paraId="590D9E59" w14:textId="77777777" w:rsidR="00FF512E" w:rsidRPr="00FF512E" w:rsidRDefault="00FF512E" w:rsidP="00095598">
            <w:pPr>
              <w:jc w:val="both"/>
              <w:rPr>
                <w:rFonts w:eastAsiaTheme="minorEastAsia"/>
                <w:lang w:eastAsia="en-US"/>
              </w:rPr>
            </w:pPr>
            <w:r w:rsidRPr="00FF512E">
              <w:rPr>
                <w:rFonts w:eastAsiaTheme="minorEastAsia"/>
                <w:lang w:eastAsia="en-US"/>
              </w:rPr>
              <w:t>Alteration rules (Forks, etc)</w:t>
            </w:r>
          </w:p>
        </w:tc>
        <w:tc>
          <w:tcPr>
            <w:tcW w:w="2408" w:type="dxa"/>
          </w:tcPr>
          <w:p w14:paraId="7A80A90D" w14:textId="77777777" w:rsidR="00FF512E" w:rsidRPr="00FF512E" w:rsidRDefault="00FF512E" w:rsidP="00095598">
            <w:pPr>
              <w:jc w:val="both"/>
              <w:rPr>
                <w:rFonts w:eastAsiaTheme="minorEastAsia"/>
                <w:lang w:eastAsia="en-US"/>
              </w:rPr>
            </w:pPr>
            <w:r w:rsidRPr="00FF512E">
              <w:rPr>
                <w:rFonts w:eastAsiaTheme="minorEastAsia"/>
                <w:lang w:eastAsia="en-US"/>
              </w:rPr>
              <w:t>Execution and validation</w:t>
            </w:r>
          </w:p>
        </w:tc>
      </w:tr>
      <w:tr w:rsidR="00FF512E" w:rsidRPr="00FF512E" w14:paraId="66F04834" w14:textId="77777777" w:rsidTr="00CC5A18">
        <w:tc>
          <w:tcPr>
            <w:tcW w:w="2828" w:type="dxa"/>
          </w:tcPr>
          <w:p w14:paraId="67CD2E04" w14:textId="77777777" w:rsidR="00FF512E" w:rsidRPr="00FF512E" w:rsidRDefault="00FF512E" w:rsidP="00095598">
            <w:pPr>
              <w:jc w:val="both"/>
              <w:rPr>
                <w:rFonts w:eastAsiaTheme="minorEastAsia"/>
                <w:lang w:eastAsia="en-US"/>
              </w:rPr>
            </w:pPr>
            <w:r w:rsidRPr="00FF512E">
              <w:rPr>
                <w:rFonts w:eastAsiaTheme="minorEastAsia"/>
                <w:lang w:eastAsia="en-US"/>
              </w:rPr>
              <w:t>APPLICATION CONTEXT</w:t>
            </w:r>
          </w:p>
        </w:tc>
        <w:tc>
          <w:tcPr>
            <w:tcW w:w="1986" w:type="dxa"/>
          </w:tcPr>
          <w:p w14:paraId="456B3D4C" w14:textId="77777777" w:rsidR="00FF512E" w:rsidRPr="00FF512E" w:rsidRDefault="00FF512E" w:rsidP="00095598">
            <w:pPr>
              <w:jc w:val="both"/>
              <w:rPr>
                <w:rFonts w:eastAsiaTheme="minorEastAsia"/>
                <w:lang w:eastAsia="en-US"/>
              </w:rPr>
            </w:pPr>
            <w:r w:rsidRPr="00FF512E">
              <w:rPr>
                <w:rFonts w:eastAsiaTheme="minorEastAsia"/>
                <w:lang w:eastAsia="en-US"/>
              </w:rPr>
              <w:t>Accessibility and accountability</w:t>
            </w:r>
          </w:p>
        </w:tc>
        <w:tc>
          <w:tcPr>
            <w:tcW w:w="2407" w:type="dxa"/>
          </w:tcPr>
          <w:p w14:paraId="3E1B7163" w14:textId="77777777" w:rsidR="00FF512E" w:rsidRPr="00FF512E" w:rsidRDefault="00FF512E" w:rsidP="00095598">
            <w:pPr>
              <w:jc w:val="both"/>
              <w:rPr>
                <w:rFonts w:eastAsiaTheme="minorEastAsia"/>
                <w:lang w:eastAsia="en-US"/>
              </w:rPr>
            </w:pPr>
            <w:r w:rsidRPr="00FF512E">
              <w:rPr>
                <w:rFonts w:eastAsiaTheme="minorEastAsia"/>
                <w:lang w:eastAsia="en-US"/>
              </w:rPr>
              <w:t>Discoverability, Auditability, availability, accountability, Syntactic Interoperability</w:t>
            </w:r>
          </w:p>
        </w:tc>
        <w:tc>
          <w:tcPr>
            <w:tcW w:w="2408" w:type="dxa"/>
          </w:tcPr>
          <w:p w14:paraId="3DD9C891" w14:textId="77777777" w:rsidR="00FF512E" w:rsidRPr="00FF512E" w:rsidRDefault="00FF512E" w:rsidP="00095598">
            <w:pPr>
              <w:jc w:val="both"/>
              <w:rPr>
                <w:rFonts w:eastAsiaTheme="minorEastAsia"/>
                <w:lang w:eastAsia="en-US"/>
              </w:rPr>
            </w:pPr>
            <w:r w:rsidRPr="00FF512E">
              <w:rPr>
                <w:rFonts w:eastAsiaTheme="minorEastAsia"/>
                <w:lang w:eastAsia="en-US"/>
              </w:rPr>
              <w:t>Disposal, destruction or transfer.</w:t>
            </w:r>
          </w:p>
        </w:tc>
      </w:tr>
      <w:tr w:rsidR="00FF512E" w:rsidRPr="00FF512E" w14:paraId="5A3DB09C" w14:textId="77777777" w:rsidTr="00CC5A18">
        <w:tc>
          <w:tcPr>
            <w:tcW w:w="2828" w:type="dxa"/>
          </w:tcPr>
          <w:p w14:paraId="2B0ED174" w14:textId="77777777" w:rsidR="00FF512E" w:rsidRPr="00FF512E" w:rsidRDefault="00FF512E" w:rsidP="00095598">
            <w:pPr>
              <w:jc w:val="both"/>
              <w:rPr>
                <w:rFonts w:eastAsiaTheme="minorEastAsia"/>
                <w:lang w:eastAsia="en-US"/>
              </w:rPr>
            </w:pPr>
            <w:r w:rsidRPr="00FF512E">
              <w:rPr>
                <w:rFonts w:eastAsiaTheme="minorEastAsia"/>
                <w:lang w:eastAsia="en-US"/>
              </w:rPr>
              <w:t>DATA CONTEXT</w:t>
            </w:r>
          </w:p>
        </w:tc>
        <w:tc>
          <w:tcPr>
            <w:tcW w:w="1986" w:type="dxa"/>
          </w:tcPr>
          <w:p w14:paraId="72860B75" w14:textId="77777777" w:rsidR="00FF512E" w:rsidRPr="00FF512E" w:rsidRDefault="00FF512E" w:rsidP="00095598">
            <w:pPr>
              <w:jc w:val="both"/>
              <w:rPr>
                <w:rFonts w:eastAsiaTheme="minorEastAsia"/>
                <w:lang w:eastAsia="en-US"/>
              </w:rPr>
            </w:pPr>
            <w:r w:rsidRPr="00FF512E">
              <w:rPr>
                <w:rFonts w:eastAsiaTheme="minorEastAsia"/>
                <w:lang w:eastAsia="en-US"/>
              </w:rPr>
              <w:t>Establishment of data governance</w:t>
            </w:r>
          </w:p>
        </w:tc>
        <w:tc>
          <w:tcPr>
            <w:tcW w:w="2407" w:type="dxa"/>
          </w:tcPr>
          <w:p w14:paraId="1B7269D0" w14:textId="77777777" w:rsidR="00FF512E" w:rsidRPr="00FF512E" w:rsidRDefault="00FF512E" w:rsidP="00095598">
            <w:pPr>
              <w:jc w:val="both"/>
              <w:rPr>
                <w:rFonts w:eastAsiaTheme="minorEastAsia"/>
                <w:lang w:eastAsia="en-US"/>
              </w:rPr>
            </w:pPr>
            <w:r w:rsidRPr="00FF512E">
              <w:rPr>
                <w:rFonts w:eastAsiaTheme="minorEastAsia"/>
                <w:lang w:eastAsia="en-US"/>
              </w:rPr>
              <w:t>Collection, Storage, Reporting, Semantic Interoperability</w:t>
            </w:r>
          </w:p>
        </w:tc>
        <w:tc>
          <w:tcPr>
            <w:tcW w:w="2408" w:type="dxa"/>
          </w:tcPr>
          <w:p w14:paraId="0F521008" w14:textId="77777777" w:rsidR="00FF512E" w:rsidRPr="00FF512E" w:rsidRDefault="00FF512E" w:rsidP="00095598">
            <w:pPr>
              <w:jc w:val="both"/>
              <w:rPr>
                <w:rFonts w:eastAsiaTheme="minorEastAsia"/>
                <w:lang w:eastAsia="en-US"/>
              </w:rPr>
            </w:pPr>
            <w:r w:rsidRPr="00FF512E">
              <w:rPr>
                <w:rFonts w:eastAsiaTheme="minorEastAsia"/>
                <w:lang w:eastAsia="en-US"/>
              </w:rPr>
              <w:t>Disposal, archiving or destruction.</w:t>
            </w:r>
          </w:p>
        </w:tc>
      </w:tr>
      <w:tr w:rsidR="00FF512E" w:rsidRPr="00FF512E" w14:paraId="4C47A5EF" w14:textId="77777777" w:rsidTr="00CC5A18">
        <w:tc>
          <w:tcPr>
            <w:tcW w:w="2828" w:type="dxa"/>
          </w:tcPr>
          <w:p w14:paraId="0BAD493C" w14:textId="77777777" w:rsidR="00FF512E" w:rsidRPr="00FF512E" w:rsidRDefault="00FF512E" w:rsidP="00095598">
            <w:pPr>
              <w:jc w:val="both"/>
              <w:rPr>
                <w:rFonts w:eastAsiaTheme="minorEastAsia"/>
                <w:lang w:eastAsia="en-US"/>
              </w:rPr>
            </w:pPr>
            <w:r w:rsidRPr="00FF512E">
              <w:rPr>
                <w:rFonts w:eastAsiaTheme="minorEastAsia"/>
                <w:lang w:eastAsia="en-US"/>
              </w:rPr>
              <w:t>BEHAVIOURAL CONTEXT</w:t>
            </w:r>
          </w:p>
        </w:tc>
        <w:tc>
          <w:tcPr>
            <w:tcW w:w="1986" w:type="dxa"/>
          </w:tcPr>
          <w:p w14:paraId="11DF403E" w14:textId="77777777" w:rsidR="00FF512E" w:rsidRPr="00FF512E" w:rsidRDefault="00FF512E" w:rsidP="00095598">
            <w:pPr>
              <w:jc w:val="both"/>
              <w:rPr>
                <w:rFonts w:eastAsiaTheme="minorEastAsia"/>
                <w:lang w:eastAsia="en-US"/>
              </w:rPr>
            </w:pPr>
            <w:r w:rsidRPr="00FF512E">
              <w:rPr>
                <w:rFonts w:eastAsiaTheme="minorEastAsia"/>
                <w:lang w:eastAsia="en-US"/>
              </w:rPr>
              <w:t>Organic functions and operations</w:t>
            </w:r>
          </w:p>
        </w:tc>
        <w:tc>
          <w:tcPr>
            <w:tcW w:w="2407" w:type="dxa"/>
          </w:tcPr>
          <w:p w14:paraId="3CB03BE7" w14:textId="77777777" w:rsidR="00FF512E" w:rsidRPr="00FF512E" w:rsidRDefault="00FF512E" w:rsidP="00095598">
            <w:pPr>
              <w:jc w:val="both"/>
              <w:rPr>
                <w:rFonts w:eastAsiaTheme="minorEastAsia"/>
                <w:lang w:eastAsia="en-US"/>
              </w:rPr>
            </w:pPr>
            <w:r w:rsidRPr="00FF512E">
              <w:rPr>
                <w:rFonts w:eastAsiaTheme="minorEastAsia"/>
                <w:lang w:eastAsia="en-US"/>
              </w:rPr>
              <w:t>Decision, Distribution, dispute resolution, Business Interoperability</w:t>
            </w:r>
          </w:p>
        </w:tc>
        <w:tc>
          <w:tcPr>
            <w:tcW w:w="2408" w:type="dxa"/>
          </w:tcPr>
          <w:p w14:paraId="4FF6DB4B" w14:textId="77777777" w:rsidR="00FF512E" w:rsidRPr="00FF512E" w:rsidRDefault="00FF512E" w:rsidP="00095598">
            <w:pPr>
              <w:jc w:val="both"/>
              <w:rPr>
                <w:rFonts w:eastAsiaTheme="minorEastAsia"/>
                <w:lang w:eastAsia="en-US"/>
              </w:rPr>
            </w:pPr>
            <w:r w:rsidRPr="00FF512E">
              <w:rPr>
                <w:rFonts w:eastAsiaTheme="minorEastAsia"/>
                <w:lang w:eastAsia="en-US"/>
              </w:rPr>
              <w:t>Decommissioning, Disposal.</w:t>
            </w:r>
          </w:p>
        </w:tc>
      </w:tr>
    </w:tbl>
    <w:p w14:paraId="73B5ABEB" w14:textId="77777777" w:rsidR="00FF512E" w:rsidRPr="00FF512E" w:rsidRDefault="00FF512E" w:rsidP="00095598">
      <w:pPr>
        <w:jc w:val="both"/>
      </w:pPr>
    </w:p>
    <w:p w14:paraId="1B915E5E" w14:textId="77777777" w:rsidR="00FF512E" w:rsidRPr="00FF512E" w:rsidRDefault="00FF512E" w:rsidP="00095598">
      <w:pPr>
        <w:jc w:val="both"/>
      </w:pPr>
    </w:p>
    <w:p w14:paraId="32DE09B3" w14:textId="77777777" w:rsidR="00FF512E" w:rsidRPr="00FF512E" w:rsidRDefault="00FF512E" w:rsidP="00095598">
      <w:pPr>
        <w:jc w:val="both"/>
        <w:rPr>
          <w:lang w:val="en-GB" w:eastAsia="en-US"/>
        </w:rPr>
      </w:pPr>
    </w:p>
    <w:p w14:paraId="0B26F1CC" w14:textId="77777777" w:rsidR="00FF512E" w:rsidRPr="00FF512E" w:rsidRDefault="00FF512E" w:rsidP="00FF512E">
      <w:pPr>
        <w:keepNext/>
        <w:spacing w:before="120"/>
        <w:ind w:left="-567"/>
        <w:jc w:val="both"/>
        <w:rPr>
          <w:rStyle w:val="Guidance"/>
          <w:rFonts w:ascii="Times New Roman" w:hAnsi="Times New Roman" w:cs="Times New Roman"/>
          <w:lang w:val="en-US"/>
        </w:rPr>
      </w:pPr>
    </w:p>
    <w:p w14:paraId="7016C372" w14:textId="77777777" w:rsidR="00517312" w:rsidRPr="00FF512E" w:rsidRDefault="00517312" w:rsidP="00FF512E"/>
    <w:sectPr w:rsidR="00517312" w:rsidRPr="00FF512E" w:rsidSect="00B25EF8">
      <w:headerReference w:type="default" r:id="rId41"/>
      <w:footerReference w:type="default" r:id="rId4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0" w:author="Usuario de Microsoft Office" w:date="2020-09-23T14:18:00Z" w:initials="UdMO">
    <w:p w14:paraId="219C3518" w14:textId="77777777" w:rsidR="00FF512E" w:rsidRPr="008A166F" w:rsidRDefault="00FF512E" w:rsidP="00FF512E">
      <w:pPr>
        <w:pStyle w:val="Textocomentario"/>
        <w:rPr>
          <w:lang w:val="en-US"/>
        </w:rPr>
      </w:pPr>
      <w:r>
        <w:rPr>
          <w:rStyle w:val="Refdecomentario"/>
        </w:rPr>
        <w:annotationRef/>
      </w:r>
      <w:r w:rsidRPr="008A166F">
        <w:rPr>
          <w:lang w:val="en-US"/>
        </w:rP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C35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89D" w16cex:dateUtc="2020-09-23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3518" w16cid:durableId="25A61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9043" w14:textId="77777777" w:rsidR="00BE44EF" w:rsidRDefault="00BE44EF" w:rsidP="00FF512E">
      <w:r>
        <w:separator/>
      </w:r>
    </w:p>
  </w:endnote>
  <w:endnote w:type="continuationSeparator" w:id="0">
    <w:p w14:paraId="15050DA4" w14:textId="77777777" w:rsidR="00BE44EF" w:rsidRDefault="00BE44EF"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E77" w14:textId="77777777" w:rsidR="00FF512E" w:rsidRDefault="00FF512E">
    <w:pPr>
      <w:pStyle w:val="Piedepgina"/>
    </w:pPr>
  </w:p>
  <w:p w14:paraId="7DC2A255" w14:textId="77777777" w:rsidR="00FF512E" w:rsidRDefault="00FF51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80F" w14:textId="77777777" w:rsidR="002B2CE0" w:rsidRDefault="002B4E9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A898" w14:textId="77777777" w:rsidR="00BE44EF" w:rsidRDefault="00BE44EF" w:rsidP="00FF512E">
      <w:r>
        <w:separator/>
      </w:r>
    </w:p>
  </w:footnote>
  <w:footnote w:type="continuationSeparator" w:id="0">
    <w:p w14:paraId="42DBC0BA" w14:textId="77777777" w:rsidR="00BE44EF" w:rsidRDefault="00BE44EF" w:rsidP="00FF512E">
      <w:r>
        <w:continuationSeparator/>
      </w:r>
    </w:p>
  </w:footnote>
  <w:footnote w:id="1">
    <w:sdt>
      <w:sdtPr>
        <w:tag w:val="goog_rdk_32"/>
        <w:id w:val="-1162071003"/>
      </w:sdtPr>
      <w:sdtEndPr/>
      <w:sdtContent>
        <w:p w14:paraId="5BEAB9AF"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1"/>
              <w:id w:val="1515180604"/>
            </w:sdtPr>
            <w:sdtEndPr/>
            <w:sdtContent>
              <w:r>
                <w:rPr>
                  <w:rFonts w:ascii="Arial" w:eastAsia="Arial" w:hAnsi="Arial" w:cs="Arial"/>
                  <w:b/>
                  <w:i/>
                  <w:color w:val="000000"/>
                  <w:sz w:val="18"/>
                  <w:szCs w:val="18"/>
                </w:rPr>
                <w:t xml:space="preserve"> </w:t>
              </w:r>
              <w:hyperlink r:id="rId1" w:history="1">
                <w:r>
                  <w:rPr>
                    <w:rFonts w:ascii="Arial" w:eastAsia="Arial" w:hAnsi="Arial" w:cs="Arial"/>
                    <w:b/>
                    <w:i/>
                    <w:color w:val="000000"/>
                    <w:sz w:val="18"/>
                    <w:szCs w:val="18"/>
                  </w:rPr>
                  <w:t>https://www.sofie-iot.eu/</w:t>
                </w:r>
              </w:hyperlink>
              <w:r>
                <w:rPr>
                  <w:rFonts w:ascii="Arial" w:eastAsia="Arial" w:hAnsi="Arial" w:cs="Arial"/>
                  <w:b/>
                  <w:i/>
                  <w:color w:val="000000"/>
                  <w:sz w:val="18"/>
                  <w:szCs w:val="18"/>
                </w:rPr>
                <w:t xml:space="preserve"> </w:t>
              </w:r>
            </w:sdtContent>
          </w:sdt>
        </w:p>
      </w:sdtContent>
    </w:sdt>
  </w:footnote>
  <w:footnote w:id="2">
    <w:sdt>
      <w:sdtPr>
        <w:tag w:val="goog_rdk_34"/>
        <w:id w:val="-1864733453"/>
      </w:sdtPr>
      <w:sdtEndPr/>
      <w:sdtContent>
        <w:p w14:paraId="56E24BA2"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3"/>
              <w:id w:val="-901983838"/>
            </w:sdtPr>
            <w:sdtEndPr/>
            <w:sdtContent>
              <w:r>
                <w:rPr>
                  <w:rFonts w:ascii="Arial" w:eastAsia="Arial" w:hAnsi="Arial" w:cs="Arial"/>
                  <w:b/>
                  <w:i/>
                  <w:color w:val="000000"/>
                  <w:sz w:val="18"/>
                  <w:szCs w:val="18"/>
                </w:rPr>
                <w:t xml:space="preserve"> </w:t>
              </w:r>
              <w:hyperlink r:id="rId2" w:history="1">
                <w:r>
                  <w:rPr>
                    <w:rFonts w:ascii="Arial" w:eastAsia="Arial" w:hAnsi="Arial" w:cs="Arial"/>
                    <w:b/>
                    <w:i/>
                    <w:color w:val="000000"/>
                    <w:sz w:val="18"/>
                    <w:szCs w:val="18"/>
                  </w:rPr>
                  <w:t>https://github.com/SOFIE-project/Interledger</w:t>
                </w:r>
              </w:hyperlink>
              <w:r>
                <w:rPr>
                  <w:rFonts w:ascii="Arial" w:eastAsia="Arial" w:hAnsi="Arial" w:cs="Arial"/>
                  <w:b/>
                  <w:i/>
                  <w:color w:val="000000"/>
                  <w:sz w:val="18"/>
                  <w:szCs w:val="18"/>
                </w:rPr>
                <w:t xml:space="preserve"> </w:t>
              </w:r>
            </w:sdtContent>
          </w:sdt>
        </w:p>
      </w:sdtContent>
    </w:sdt>
    <w:sdt>
      <w:sdtPr>
        <w:tag w:val="goog_rdk_36"/>
        <w:id w:val="1516034332"/>
      </w:sdtPr>
      <w:sdtEndPr/>
      <w:sdtContent>
        <w:p w14:paraId="427C769E" w14:textId="77777777" w:rsidR="00FF512E" w:rsidRDefault="00BE44EF" w:rsidP="00FF512E">
          <w:pPr>
            <w:rPr>
              <w:rFonts w:ascii="Arial" w:eastAsia="Arial" w:hAnsi="Arial" w:cs="Arial"/>
              <w:b/>
              <w:i/>
              <w:color w:val="000000"/>
              <w:sz w:val="18"/>
              <w:szCs w:val="18"/>
            </w:rPr>
          </w:pPr>
          <w:sdt>
            <w:sdtPr>
              <w:tag w:val="goog_rdk_35"/>
              <w:id w:val="258648210"/>
              <w:showingPlcHdr/>
            </w:sdtPr>
            <w:sdtEndPr/>
            <w:sdtContent>
              <w:r w:rsidR="00FF512E">
                <w:t xml:space="preserve">     </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257F" w14:textId="77777777" w:rsidR="00FF512E" w:rsidRDefault="00FF512E">
    <w:pPr>
      <w:pStyle w:val="Encabezado"/>
    </w:pPr>
    <w:r>
      <w:rPr>
        <w:lang w:val="en-US"/>
      </w:rPr>
      <w:drawing>
        <wp:anchor distT="0" distB="0" distL="114300" distR="114300" simplePos="0" relativeHeight="251659264" behindDoc="1" locked="0" layoutInCell="1" allowOverlap="1" wp14:anchorId="24CF6B4A" wp14:editId="4453BF9D">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9958" w14:textId="77777777" w:rsidR="002B2CE0" w:rsidRDefault="004A4E6D">
    <w:pPr>
      <w:pStyle w:val="Encabezado"/>
      <w:framePr w:wrap="auto" w:vAnchor="text" w:hAnchor="margin" w:xAlign="center" w:y="1"/>
    </w:pPr>
    <w:r>
      <w:fldChar w:fldCharType="begin"/>
    </w:r>
    <w:r w:rsidR="002B4E9D">
      <w:instrText xml:space="preserve">page </w:instrText>
    </w:r>
    <w:r>
      <w:fldChar w:fldCharType="separate"/>
    </w:r>
    <w:r w:rsidR="00F311EF">
      <w:t>14</w:t>
    </w:r>
    <w:r>
      <w:fldChar w:fldCharType="end"/>
    </w:r>
  </w:p>
  <w:p w14:paraId="45C08243" w14:textId="77777777" w:rsidR="002B2CE0" w:rsidRDefault="00BE44EF"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12"/>
  </w:num>
  <w:num w:numId="6">
    <w:abstractNumId w:val="6"/>
  </w:num>
  <w:num w:numId="7">
    <w:abstractNumId w:val="11"/>
  </w:num>
  <w:num w:numId="8">
    <w:abstractNumId w:val="5"/>
  </w:num>
  <w:num w:numId="9">
    <w:abstractNumId w:val="0"/>
  </w:num>
  <w:num w:numId="10">
    <w:abstractNumId w:val="7"/>
  </w:num>
  <w:num w:numId="11">
    <w:abstractNumId w:val="4"/>
  </w:num>
  <w:num w:numId="12">
    <w:abstractNumId w:val="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mael arribas">
    <w15:presenceInfo w15:providerId="Windows Live" w15:userId="16874ee61bfbc1af"/>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12E"/>
    <w:rsid w:val="00007161"/>
    <w:rsid w:val="00095598"/>
    <w:rsid w:val="000E160C"/>
    <w:rsid w:val="00103A42"/>
    <w:rsid w:val="001659C5"/>
    <w:rsid w:val="001A4C40"/>
    <w:rsid w:val="00222A50"/>
    <w:rsid w:val="00247645"/>
    <w:rsid w:val="00256258"/>
    <w:rsid w:val="002A0671"/>
    <w:rsid w:val="002B4E9D"/>
    <w:rsid w:val="003275B3"/>
    <w:rsid w:val="003810E5"/>
    <w:rsid w:val="004A4E6D"/>
    <w:rsid w:val="004D4C57"/>
    <w:rsid w:val="00517312"/>
    <w:rsid w:val="00521AA0"/>
    <w:rsid w:val="00595BF3"/>
    <w:rsid w:val="006171D4"/>
    <w:rsid w:val="006E2E46"/>
    <w:rsid w:val="006E3AF7"/>
    <w:rsid w:val="0072131F"/>
    <w:rsid w:val="007F2F31"/>
    <w:rsid w:val="0094239D"/>
    <w:rsid w:val="009D6245"/>
    <w:rsid w:val="00AA362F"/>
    <w:rsid w:val="00AF0DE3"/>
    <w:rsid w:val="00B406D5"/>
    <w:rsid w:val="00BE44EF"/>
    <w:rsid w:val="00C45BA5"/>
    <w:rsid w:val="00C45D74"/>
    <w:rsid w:val="00F311EF"/>
    <w:rsid w:val="00F95994"/>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78401A"/>
  <w15:docId w15:val="{0F9D58CE-94CF-8243-82FE-D1E3C54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2E"/>
    <w:rPr>
      <w:rFonts w:ascii="Times New Roman" w:eastAsia="Times New Roman" w:hAnsi="Times New Roman" w:cs="Times New Roman"/>
      <w:lang w:eastAsia="es-ES_tradnl"/>
    </w:rPr>
  </w:style>
  <w:style w:type="paragraph" w:styleId="Ttulo1">
    <w:name w:val="heading 1"/>
    <w:next w:val="Normal"/>
    <w:link w:val="Ttulo1C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Ttulo2">
    <w:name w:val="heading 2"/>
    <w:basedOn w:val="Ttulo1"/>
    <w:next w:val="Normal"/>
    <w:link w:val="Ttulo2Car"/>
    <w:qFormat/>
    <w:rsid w:val="00FF512E"/>
    <w:pPr>
      <w:pBdr>
        <w:top w:val="none" w:sz="0" w:space="0" w:color="auto"/>
      </w:pBdr>
      <w:spacing w:before="180"/>
      <w:outlineLvl w:val="1"/>
    </w:pPr>
    <w:rPr>
      <w:sz w:val="32"/>
    </w:rPr>
  </w:style>
  <w:style w:type="paragraph" w:styleId="Ttulo3">
    <w:name w:val="heading 3"/>
    <w:basedOn w:val="Ttulo2"/>
    <w:next w:val="Normal"/>
    <w:link w:val="Ttulo3Car"/>
    <w:qFormat/>
    <w:rsid w:val="00FF512E"/>
    <w:pPr>
      <w:spacing w:before="120"/>
      <w:outlineLvl w:val="2"/>
    </w:pPr>
    <w:rPr>
      <w:sz w:val="28"/>
    </w:rPr>
  </w:style>
  <w:style w:type="paragraph" w:styleId="Ttulo5">
    <w:name w:val="heading 5"/>
    <w:basedOn w:val="Normal"/>
    <w:next w:val="Normal"/>
    <w:link w:val="Ttulo5C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12E"/>
    <w:rPr>
      <w:rFonts w:ascii="Arial" w:eastAsiaTheme="minorEastAsia" w:hAnsi="Arial" w:cs="Times New Roman"/>
      <w:sz w:val="36"/>
      <w:szCs w:val="20"/>
      <w:lang w:val="en-GB"/>
    </w:rPr>
  </w:style>
  <w:style w:type="character" w:customStyle="1" w:styleId="Ttulo2Car">
    <w:name w:val="Título 2 Car"/>
    <w:basedOn w:val="Fuentedeprrafopredeter"/>
    <w:link w:val="Ttulo2"/>
    <w:rsid w:val="00FF512E"/>
    <w:rPr>
      <w:rFonts w:ascii="Arial" w:eastAsiaTheme="minorEastAsia" w:hAnsi="Arial" w:cs="Times New Roman"/>
      <w:sz w:val="32"/>
      <w:szCs w:val="20"/>
      <w:lang w:val="en-GB"/>
    </w:rPr>
  </w:style>
  <w:style w:type="character" w:customStyle="1" w:styleId="Ttulo3Car">
    <w:name w:val="Título 3 Car"/>
    <w:basedOn w:val="Fuentedeprrafopredeter"/>
    <w:link w:val="Ttulo3"/>
    <w:rsid w:val="00FF512E"/>
    <w:rPr>
      <w:rFonts w:ascii="Arial" w:eastAsiaTheme="minorEastAsia" w:hAnsi="Arial" w:cs="Times New Roman"/>
      <w:sz w:val="28"/>
      <w:szCs w:val="20"/>
      <w:lang w:val="en-GB"/>
    </w:rPr>
  </w:style>
  <w:style w:type="paragraph" w:customStyle="1" w:styleId="H6">
    <w:name w:val="H6"/>
    <w:basedOn w:val="Ttulo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D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Encabezado">
    <w:name w:val="header"/>
    <w:link w:val="EncabezadoC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EncabezadoCar">
    <w:name w:val="Encabezado Car"/>
    <w:basedOn w:val="Fuentedeprrafopredeter"/>
    <w:link w:val="Encabezado"/>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DC2">
    <w:name w:val="toc 2"/>
    <w:basedOn w:val="TDC1"/>
    <w:uiPriority w:val="39"/>
    <w:rsid w:val="00FF512E"/>
    <w:pPr>
      <w:spacing w:before="0"/>
      <w:ind w:left="851" w:hanging="851"/>
    </w:pPr>
    <w:rPr>
      <w:sz w:val="20"/>
    </w:rPr>
  </w:style>
  <w:style w:type="paragraph" w:customStyle="1" w:styleId="TT">
    <w:name w:val="TT"/>
    <w:basedOn w:val="Ttulo1"/>
    <w:next w:val="Normal"/>
    <w:rsid w:val="00FF512E"/>
    <w:pPr>
      <w:outlineLvl w:val="9"/>
    </w:pPr>
  </w:style>
  <w:style w:type="paragraph" w:styleId="Piedepgina">
    <w:name w:val="footer"/>
    <w:basedOn w:val="Encabezado"/>
    <w:link w:val="PiedepginaCar"/>
    <w:rsid w:val="00FF512E"/>
    <w:pPr>
      <w:jc w:val="center"/>
    </w:pPr>
    <w:rPr>
      <w:i/>
    </w:rPr>
  </w:style>
  <w:style w:type="character" w:customStyle="1" w:styleId="PiedepginaCar">
    <w:name w:val="Pie de página Car"/>
    <w:basedOn w:val="Fuentedeprrafopredeter"/>
    <w:link w:val="Piedepgina"/>
    <w:rsid w:val="00FF512E"/>
    <w:rPr>
      <w:rFonts w:ascii="Arial" w:eastAsiaTheme="minorEastAsia" w:hAnsi="Arial" w:cs="Times New Roman"/>
      <w:b/>
      <w:i/>
      <w:noProof/>
      <w:sz w:val="18"/>
      <w:szCs w:val="20"/>
      <w:lang w:val="en-GB"/>
    </w:rPr>
  </w:style>
  <w:style w:type="character" w:styleId="Refdenotaalpie">
    <w:name w:val="footnote reference"/>
    <w:basedOn w:val="Fuentedeprrafopredeter"/>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ipervnculo">
    <w:name w:val="Hyperlink"/>
    <w:uiPriority w:val="99"/>
    <w:rsid w:val="00FF512E"/>
    <w:rPr>
      <w:color w:val="0000FF"/>
      <w:u w:val="single"/>
    </w:rPr>
  </w:style>
  <w:style w:type="character" w:styleId="Refdecomentario">
    <w:name w:val="annotation reference"/>
    <w:semiHidden/>
    <w:rsid w:val="00FF512E"/>
    <w:rPr>
      <w:sz w:val="16"/>
      <w:szCs w:val="16"/>
    </w:rPr>
  </w:style>
  <w:style w:type="paragraph" w:styleId="Textocomentario">
    <w:name w:val="annotation text"/>
    <w:basedOn w:val="Normal"/>
    <w:link w:val="TextocomentarioCar"/>
    <w:semiHidden/>
    <w:rsid w:val="00FF512E"/>
  </w:style>
  <w:style w:type="character" w:customStyle="1" w:styleId="TextocomentarioCar">
    <w:name w:val="Texto comentario Car"/>
    <w:basedOn w:val="Fuentedeprrafopredeter"/>
    <w:link w:val="Textocomentario"/>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aconcuadrcula">
    <w:name w:val="Table Grid"/>
    <w:basedOn w:val="Tabla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Ttulo5Car">
    <w:name w:val="Título 5 Car"/>
    <w:basedOn w:val="Fuentedeprrafopredeter"/>
    <w:link w:val="Ttulo5"/>
    <w:uiPriority w:val="9"/>
    <w:semiHidden/>
    <w:rsid w:val="00FF512E"/>
    <w:rPr>
      <w:rFonts w:asciiTheme="majorHAnsi" w:eastAsiaTheme="majorEastAsia" w:hAnsiTheme="majorHAnsi" w:cstheme="majorBidi"/>
      <w:color w:val="2F5496" w:themeColor="accent1" w:themeShade="BF"/>
      <w:lang w:eastAsia="es-ES_tradnl"/>
    </w:rPr>
  </w:style>
  <w:style w:type="character" w:styleId="Hipervnculovisitado">
    <w:name w:val="FollowedHyperlink"/>
    <w:basedOn w:val="Fuentedeprrafopredeter"/>
    <w:uiPriority w:val="99"/>
    <w:semiHidden/>
    <w:unhideWhenUsed/>
    <w:rsid w:val="00FF512E"/>
    <w:rPr>
      <w:color w:val="954F72" w:themeColor="followedHyperlink"/>
      <w:u w:val="single"/>
    </w:rPr>
  </w:style>
  <w:style w:type="character" w:customStyle="1" w:styleId="Mencinsinresolver1">
    <w:name w:val="Mención sin resolver1"/>
    <w:basedOn w:val="Fuentedeprrafopredeter"/>
    <w:uiPriority w:val="99"/>
    <w:semiHidden/>
    <w:unhideWhenUsed/>
    <w:rsid w:val="007F2F31"/>
    <w:rPr>
      <w:color w:val="605E5C"/>
      <w:shd w:val="clear" w:color="auto" w:fill="E1DFDD"/>
    </w:rPr>
  </w:style>
  <w:style w:type="paragraph" w:styleId="Textodeglobo">
    <w:name w:val="Balloon Text"/>
    <w:basedOn w:val="Normal"/>
    <w:link w:val="TextodegloboCar"/>
    <w:uiPriority w:val="99"/>
    <w:semiHidden/>
    <w:unhideWhenUsed/>
    <w:rsid w:val="00F311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EF"/>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image" Target="media/image2.emf"/><Relationship Id="rId26" Type="http://schemas.openxmlformats.org/officeDocument/2006/relationships/image" Target="media/image9.png"/><Relationship Id="rId39" Type="http://schemas.openxmlformats.org/officeDocument/2006/relationships/hyperlink" Target="http://www3.weforum.org/docs/WEF_A_Framework_for_Blockchain_Interoperability_2020.pdf" TargetMode="External"/><Relationship Id="rId21" Type="http://schemas.openxmlformats.org/officeDocument/2006/relationships/image" Target="media/image5.png"/><Relationship Id="rId34" Type="http://schemas.openxmlformats.org/officeDocument/2006/relationships/hyperlink" Target="https://toop.eu/"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cefdigital/wiki/display/CEFDIGITAL/EBSI" TargetMode="External"/><Relationship Id="rId29" Type="http://schemas.openxmlformats.org/officeDocument/2006/relationships/hyperlink" Target="https://joinup.ec.europa.eu/collection/common-assessment-method-standards-and-specifications-camss/solution/elis/release/v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openxmlformats.org/officeDocument/2006/relationships/image" Target="media/image8.png"/><Relationship Id="rId32" Type="http://schemas.openxmlformats.org/officeDocument/2006/relationships/hyperlink" Target="https://github.com/barryWhiteHat/roll_up" TargetMode="External"/><Relationship Id="rId37" Type="http://schemas.microsoft.com/office/2016/09/relationships/commentsIds" Target="commentsIds.xml"/><Relationship Id="rId40" Type="http://schemas.openxmlformats.org/officeDocument/2006/relationships/hyperlink" Target="https://publications.iadb.org/publications/english/document/Quantum-Resistance-in-Blockchain-Network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7.png"/><Relationship Id="rId28" Type="http://schemas.openxmlformats.org/officeDocument/2006/relationships/image" Target="media/image10.png"/><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yperlink" Target="https://blockstream.com/sidechains.pdf"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etsi.org/Services/editHelp!/Howtostart/ETSIDraftingRules.aspx" TargetMode="External"/><Relationship Id="rId22" Type="http://schemas.openxmlformats.org/officeDocument/2006/relationships/image" Target="media/image6.emf"/><Relationship Id="rId27" Type="http://schemas.openxmlformats.org/officeDocument/2006/relationships/hyperlink" Target="https://ec.europa.eu/isa2/sites/default/files/eif_brochure_final.pdf" TargetMode="External"/><Relationship Id="rId30" Type="http://schemas.openxmlformats.org/officeDocument/2006/relationships/hyperlink" Target="https://joinup.ec.europa.eu/collection/nifo-national-interoperability-framework-observatory/national-interoperability-initiatives" TargetMode="External"/><Relationship Id="rId35" Type="http://schemas.openxmlformats.org/officeDocument/2006/relationships/comments" Target="comments.xml"/><Relationship Id="rId43" Type="http://schemas.openxmlformats.org/officeDocument/2006/relationships/fontTable" Target="fontTable.xml"/><Relationship Id="rId8" Type="http://schemas.openxmlformats.org/officeDocument/2006/relationships/image" Target="NULL"/><Relationship Id="rId3" Type="http://schemas.openxmlformats.org/officeDocument/2006/relationships/settings" Target="settings.xml"/><Relationship Id="rId12" Type="http://schemas.openxmlformats.org/officeDocument/2006/relationships/hyperlink" Target="https://portal.etsi.org/TB/ETSIDeliverableStatus.aspx" TargetMode="External"/><Relationship Id="rId17" Type="http://schemas.openxmlformats.org/officeDocument/2006/relationships/hyperlink" Target="https://ec.europa.eu/isa2/sites/isa/files/eif_brochure_final.pdf" TargetMode="External"/><Relationship Id="rId25" Type="http://schemas.openxmlformats.org/officeDocument/2006/relationships/hyperlink" Target="https://ec.europa.eu/isa2/actions/towards-european-interoperability-architecture_en" TargetMode="External"/><Relationship Id="rId33" Type="http://schemas.openxmlformats.org/officeDocument/2006/relationships/hyperlink" Target="https://eur-lex.europa.eu/legal-content/EN/TXT/?uri=celex:32018R1724" TargetMode="External"/><Relationship Id="rId38" Type="http://schemas.microsoft.com/office/2018/08/relationships/commentsExtensible" Target="commentsExtensible.xml"/><Relationship Id="rId20" Type="http://schemas.openxmlformats.org/officeDocument/2006/relationships/image" Target="media/image4.png"/><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OFIE-project/Interledger" TargetMode="External"/><Relationship Id="rId1" Type="http://schemas.openxmlformats.org/officeDocument/2006/relationships/hyperlink" Target="https://www.sofie-io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6055</Words>
  <Characters>33307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PerkedleApps</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arribas</dc:creator>
  <cp:lastModifiedBy>ismael arribas</cp:lastModifiedBy>
  <cp:revision>3</cp:revision>
  <dcterms:created xsi:type="dcterms:W3CDTF">2022-01-20T13:30:00Z</dcterms:created>
  <dcterms:modified xsi:type="dcterms:W3CDTF">2022-02-03T08:03:00Z</dcterms:modified>
</cp:coreProperties>
</file>