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14DE38D1" w:rsidR="0072795A" w:rsidRPr="00EB0F5D" w:rsidRDefault="005F05C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01FE87CC" w:rsidR="0072795A" w:rsidRPr="00EB0F5D" w:rsidRDefault="00B87ED7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Delete region restriction for TL</w:t>
            </w:r>
            <w:r w:rsidR="0019206E">
              <w:rPr>
                <w:color w:val="000000" w:themeColor="text1"/>
              </w:rPr>
              <w:t>M</w:t>
            </w:r>
            <w:r w:rsidRPr="00EB0F5D">
              <w:rPr>
                <w:color w:val="000000" w:themeColor="text1"/>
              </w:rPr>
              <w:t xml:space="preserve"> certificate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17B71B9B" w:rsidR="0072795A" w:rsidRPr="00EB0F5D" w:rsidRDefault="000512F3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645A866C" w:rsidR="0072795A" w:rsidRPr="00EB0F5D" w:rsidRDefault="000512F3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AC7759">
              <w:rPr>
                <w:rFonts w:cs="Arial"/>
                <w:color w:val="000000" w:themeColor="text1"/>
              </w:rPr>
              <w:t>6</w:t>
            </w:r>
            <w:r w:rsidR="00254E90">
              <w:rPr>
                <w:rFonts w:cs="Arial"/>
                <w:color w:val="000000" w:themeColor="text1"/>
              </w:rPr>
              <w:t>.06</w:t>
            </w:r>
            <w:r w:rsidR="00254E90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7BB56A54" w:rsidR="009A639A" w:rsidRPr="00EB0F5D" w:rsidRDefault="00E91B6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5E83D13A" w:rsidR="001B0EDE" w:rsidRPr="00960086" w:rsidRDefault="00C01503" w:rsidP="009600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document submitted in </w:t>
            </w:r>
            <w:hyperlink r:id="rId10" w:tgtFrame="_blank" w:history="1">
              <w:r>
                <w:rPr>
                  <w:rStyle w:val="Hyperlink"/>
                  <w:rFonts w:cs="Arial"/>
                  <w:color w:val="000000"/>
                  <w:sz w:val="16"/>
                  <w:szCs w:val="16"/>
                </w:rPr>
                <w:t>ITS(20)038032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06E">
              <w:rPr>
                <w:rFonts w:cs="Arial"/>
                <w:color w:val="000000"/>
                <w:sz w:val="16"/>
                <w:szCs w:val="16"/>
              </w:rPr>
              <w:t>(</w:t>
            </w:r>
            <w:r w:rsidR="00960086" w:rsidRPr="00960086">
              <w:rPr>
                <w:color w:val="000000" w:themeColor="text1"/>
              </w:rPr>
              <w:t>section 2.1</w:t>
            </w:r>
            <w:r w:rsidR="0019206E">
              <w:rPr>
                <w:color w:val="000000" w:themeColor="text1"/>
              </w:rPr>
              <w:t>)</w:t>
            </w:r>
            <w:r w:rsidR="00960086" w:rsidRPr="00960086">
              <w:rPr>
                <w:color w:val="000000" w:themeColor="text1"/>
              </w:rPr>
              <w:t xml:space="preserve"> </w:t>
            </w:r>
            <w:r w:rsidRPr="00960086">
              <w:rPr>
                <w:color w:val="000000" w:themeColor="text1"/>
              </w:rPr>
              <w:t xml:space="preserve">requires the region restriction in the TLM </w:t>
            </w:r>
            <w:r w:rsidR="00960086" w:rsidRPr="00960086">
              <w:rPr>
                <w:color w:val="000000" w:themeColor="text1"/>
              </w:rPr>
              <w:t>certificate to be absent: “The component region shall be absent, contrary to the specification in TS 103 097 V1.3.1 (it is expected that TS 103 097 will be updated to reflect this).</w:t>
            </w:r>
            <w:r w:rsidR="00960086">
              <w:rPr>
                <w:color w:val="000000" w:themeColor="text1"/>
              </w:rPr>
              <w:t>“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352CA934" w:rsidR="009A639A" w:rsidRPr="00FD60D6" w:rsidRDefault="00960086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Standard compliant device might not trust the TLM certificate and the ECTL signed by it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3997B2E0" w:rsidR="008930FF" w:rsidRPr="00405708" w:rsidRDefault="00960086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Delete </w:t>
            </w:r>
            <w:r w:rsidR="005B771A">
              <w:rPr>
                <w:color w:val="000000"/>
              </w:rPr>
              <w:t xml:space="preserve"> </w:t>
            </w:r>
            <w:r w:rsidR="006A7815">
              <w:rPr>
                <w:color w:val="000000"/>
              </w:rPr>
              <w:t>the statement: “</w:t>
            </w:r>
            <w:r w:rsidR="0019206E">
              <w:t>region: this component shall contain the geographic validity restriction associated to the Trust List Manager.”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2ADDD4AC" w:rsidR="003B5F9C" w:rsidRPr="008930FF" w:rsidRDefault="006A7815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7.2.5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3D093994" w14:textId="34ABDF46" w:rsidR="00137228" w:rsidRDefault="00137228" w:rsidP="008A0498">
      <w:pPr>
        <w:pStyle w:val="Heading2"/>
      </w:pPr>
    </w:p>
    <w:p w14:paraId="4DA2E09E" w14:textId="29DCFB66" w:rsidR="008E6364" w:rsidRDefault="008E636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ourier New" w:hAnsi="Courier New" w:cs="Courier New"/>
          <w:lang w:val="en-US" w:eastAsia="ja-JP"/>
        </w:rPr>
      </w:pPr>
      <w:r>
        <w:rPr>
          <w:rFonts w:ascii="Courier New" w:hAnsi="Courier New" w:cs="Courier New"/>
          <w:lang w:val="en-US" w:eastAsia="ja-JP"/>
        </w:rPr>
        <w:br w:type="page"/>
      </w:r>
    </w:p>
    <w:p w14:paraId="4022ED5B" w14:textId="6ADFF148" w:rsidR="00BB749F" w:rsidRDefault="00BB749F" w:rsidP="00840758">
      <w:pPr>
        <w:pStyle w:val="Heading3"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rPr>
          <w:rFonts w:ascii="Arial" w:eastAsia="Times New Roman" w:hAnsi="Arial" w:cs="Times New Roman"/>
          <w:color w:val="auto"/>
          <w:sz w:val="28"/>
          <w:szCs w:val="20"/>
        </w:rPr>
      </w:pPr>
      <w:bookmarkStart w:id="1" w:name="_Toc37325103"/>
      <w:r w:rsidRPr="00840758">
        <w:rPr>
          <w:rFonts w:ascii="Arial" w:eastAsia="Times New Roman" w:hAnsi="Arial" w:cs="Times New Roman"/>
          <w:color w:val="auto"/>
          <w:sz w:val="28"/>
          <w:szCs w:val="20"/>
        </w:rPr>
        <w:lastRenderedPageBreak/>
        <w:t>7.2.5</w:t>
      </w:r>
      <w:r w:rsidRPr="00840758">
        <w:rPr>
          <w:rFonts w:ascii="Arial" w:eastAsia="Times New Roman" w:hAnsi="Arial" w:cs="Times New Roman"/>
          <w:color w:val="auto"/>
          <w:sz w:val="28"/>
          <w:szCs w:val="20"/>
        </w:rPr>
        <w:tab/>
        <w:t>Trust List Manager certificate</w:t>
      </w:r>
      <w:bookmarkEnd w:id="1"/>
    </w:p>
    <w:p w14:paraId="2C3855A3" w14:textId="1641306E" w:rsidR="00840758" w:rsidRPr="00840758" w:rsidRDefault="00840758" w:rsidP="00840758">
      <w:pPr>
        <w:rPr>
          <w:b/>
          <w:i/>
        </w:rPr>
      </w:pPr>
      <w:r w:rsidRPr="00840758">
        <w:rPr>
          <w:b/>
          <w:i/>
        </w:rPr>
        <w:t>Apply the following changes (</w:t>
      </w:r>
      <w:r w:rsidR="003E000A">
        <w:rPr>
          <w:b/>
          <w:i/>
        </w:rPr>
        <w:t>deletions):</w:t>
      </w:r>
    </w:p>
    <w:p w14:paraId="56ABAFF7" w14:textId="77777777" w:rsidR="00840758" w:rsidRPr="00840758" w:rsidRDefault="00840758" w:rsidP="00840758"/>
    <w:p w14:paraId="16F88F88" w14:textId="77777777" w:rsidR="00BB749F" w:rsidRPr="00AE3B33" w:rsidRDefault="00BB749F" w:rsidP="00BB749F">
      <w:r w:rsidRPr="00AE3B33">
        <w:t xml:space="preserve">This clause defines additional aspects of Trust List Manager certificates. Trust List Manager certificates shall be of type </w:t>
      </w:r>
      <w:r w:rsidRPr="00AE3B33">
        <w:rPr>
          <w:rStyle w:val="FL-Char"/>
        </w:rPr>
        <w:t>EtsiTs103097Certificate</w:t>
      </w:r>
      <w:r w:rsidRPr="00AE3B33">
        <w:t xml:space="preserve"> as defined in clause 6, with the following constraints:</w:t>
      </w:r>
    </w:p>
    <w:p w14:paraId="58A71538" w14:textId="77777777" w:rsidR="00BB749F" w:rsidRPr="00AE3B33" w:rsidRDefault="00BB749F" w:rsidP="00BB749F">
      <w:r w:rsidRPr="00AE3B33">
        <w:t xml:space="preserve">The component </w:t>
      </w:r>
      <w:r w:rsidRPr="00AE3B33">
        <w:rPr>
          <w:rFonts w:ascii="Courier New" w:hAnsi="Courier New"/>
        </w:rPr>
        <w:t xml:space="preserve">issuer </w:t>
      </w:r>
      <w:r w:rsidRPr="00AE3B33">
        <w:t>shall be set as follows:</w:t>
      </w:r>
    </w:p>
    <w:p w14:paraId="1CE5E3C2" w14:textId="77777777" w:rsidR="00BB749F" w:rsidRPr="00AE3B33" w:rsidRDefault="00BB749F" w:rsidP="00BB749F">
      <w:pPr>
        <w:pStyle w:val="B1"/>
      </w:pPr>
      <w:r w:rsidRPr="00AE3B33">
        <w:t xml:space="preserve">For Trust List Manager certificates, the component </w:t>
      </w:r>
      <w:r w:rsidRPr="00AE3B33">
        <w:rPr>
          <w:rFonts w:ascii="Courier New" w:hAnsi="Courier New"/>
        </w:rPr>
        <w:t>issuer</w:t>
      </w:r>
      <w:r w:rsidRPr="00AE3B33">
        <w:t xml:space="preserve"> shall be set to </w:t>
      </w:r>
      <w:r w:rsidRPr="00AE3B33">
        <w:rPr>
          <w:rFonts w:ascii="Courier New" w:hAnsi="Courier New" w:cs="Courier New"/>
        </w:rPr>
        <w:t>self</w:t>
      </w:r>
      <w:r w:rsidRPr="00AE3B33">
        <w:t>.</w:t>
      </w:r>
    </w:p>
    <w:p w14:paraId="3A5F37DC" w14:textId="77777777" w:rsidR="00BB749F" w:rsidRPr="00AE3B33" w:rsidRDefault="00BB749F" w:rsidP="00BB749F">
      <w:pPr>
        <w:pStyle w:val="B1"/>
      </w:pPr>
      <w:r w:rsidRPr="00AE3B33">
        <w:t xml:space="preserve">For Trust List Manager link certificates, the component </w:t>
      </w:r>
      <w:r w:rsidRPr="00AE3B33">
        <w:rPr>
          <w:rFonts w:ascii="Courier New" w:hAnsi="Courier New"/>
        </w:rPr>
        <w:t>issuer</w:t>
      </w:r>
      <w:r w:rsidRPr="00AE3B33">
        <w:t xml:space="preserve"> shall be set to </w:t>
      </w:r>
      <w:r w:rsidRPr="00AE3B33">
        <w:rPr>
          <w:rFonts w:ascii="Courier New" w:hAnsi="Courier New"/>
        </w:rPr>
        <w:t xml:space="preserve">sha256AndDigest </w:t>
      </w:r>
      <w:r w:rsidRPr="00AE3B33">
        <w:t xml:space="preserve">or </w:t>
      </w:r>
      <w:r w:rsidRPr="00AE3B33">
        <w:rPr>
          <w:rFonts w:ascii="Courier New" w:hAnsi="Courier New"/>
        </w:rPr>
        <w:t>sha384AndDigest</w:t>
      </w:r>
      <w:r w:rsidRPr="00AE3B33">
        <w:rPr>
          <w:rFonts w:ascii="CourierNewPSMT" w:hAnsi="CourierNewPSMT" w:cs="CourierNewPSMT"/>
          <w:sz w:val="15"/>
          <w:szCs w:val="15"/>
          <w:lang w:eastAsia="de-DE"/>
        </w:rPr>
        <w:t xml:space="preserve"> </w:t>
      </w:r>
      <w:r w:rsidRPr="00AE3B33">
        <w:t>as defined in IEEE Std 1609.2 [</w:t>
      </w:r>
      <w:r w:rsidRPr="00AE3B33">
        <w:fldChar w:fldCharType="begin"/>
      </w:r>
      <w:r w:rsidRPr="00AE3B33">
        <w:instrText>REF REF_IEEESTD16092TM_2016   \h</w:instrText>
      </w:r>
      <w:r w:rsidRPr="00AE3B33">
        <w:fldChar w:fldCharType="separate"/>
      </w:r>
      <w:r w:rsidRPr="00AE3B33">
        <w:t>1</w:t>
      </w:r>
      <w:r w:rsidRPr="00AE3B33">
        <w:fldChar w:fldCharType="end"/>
      </w:r>
      <w:r w:rsidRPr="00AE3B33">
        <w:t>] clause 6.4.7.</w:t>
      </w:r>
    </w:p>
    <w:p w14:paraId="71EEB71B" w14:textId="77777777" w:rsidR="00BB749F" w:rsidRPr="00AE3B33" w:rsidRDefault="00BB749F" w:rsidP="00BB749F">
      <w:r w:rsidRPr="00AE3B33">
        <w:t xml:space="preserve">These </w:t>
      </w:r>
      <w:r w:rsidRPr="00AE3B33">
        <w:rPr>
          <w:rFonts w:ascii="Courier New" w:hAnsi="Courier New"/>
        </w:rPr>
        <w:t>toBeSigned</w:t>
      </w:r>
      <w:r w:rsidRPr="00AE3B33">
        <w:t xml:space="preserve"> components shall be included in addition to those specified in clause 6:</w:t>
      </w:r>
    </w:p>
    <w:p w14:paraId="6DF36BE2" w14:textId="77777777" w:rsidR="00BB749F" w:rsidRPr="00657FFD" w:rsidRDefault="00BB749F" w:rsidP="00BB749F">
      <w:pPr>
        <w:pStyle w:val="B1"/>
        <w:rPr>
          <w:strike/>
        </w:rPr>
      </w:pPr>
      <w:r w:rsidRPr="00657FFD">
        <w:rPr>
          <w:rFonts w:ascii="Courier New" w:hAnsi="Courier New"/>
          <w:strike/>
        </w:rPr>
        <w:t>region</w:t>
      </w:r>
      <w:r w:rsidRPr="00657FFD">
        <w:rPr>
          <w:strike/>
        </w:rPr>
        <w:t>: this component shall contain the geographic validity restriction associated to the Trust List Manager.</w:t>
      </w:r>
    </w:p>
    <w:p w14:paraId="2E7EBEA7" w14:textId="77777777" w:rsidR="00BB749F" w:rsidRPr="00AE3B33" w:rsidRDefault="00BB749F" w:rsidP="00BB749F">
      <w:pPr>
        <w:pStyle w:val="B1"/>
      </w:pPr>
      <w:r w:rsidRPr="00AE3B33">
        <w:rPr>
          <w:rFonts w:ascii="Courier New" w:hAnsi="Courier New"/>
        </w:rPr>
        <w:t>appPermissions</w:t>
      </w:r>
      <w:r w:rsidRPr="00AE3B33">
        <w:t>: this component shall contain the ITS-AID for the CTL as assigned in ETSI TS 102 965 [</w:t>
      </w:r>
      <w:r w:rsidRPr="00AE3B33">
        <w:fldChar w:fldCharType="begin"/>
      </w:r>
      <w:r w:rsidRPr="00AE3B33">
        <w:instrText xml:space="preserve">REF REF_TS102965  \h </w:instrText>
      </w:r>
      <w:r w:rsidRPr="00AE3B33">
        <w:fldChar w:fldCharType="separate"/>
      </w:r>
      <w:r>
        <w:rPr>
          <w:noProof/>
        </w:rPr>
        <w:t>2</w:t>
      </w:r>
      <w:r w:rsidRPr="00AE3B33">
        <w:fldChar w:fldCharType="end"/>
      </w:r>
      <w:r w:rsidRPr="00AE3B33">
        <w:t>].</w:t>
      </w:r>
    </w:p>
    <w:p w14:paraId="4F64E8C1" w14:textId="77777777" w:rsidR="00BB749F" w:rsidRPr="00AE3B33" w:rsidRDefault="00BB749F" w:rsidP="00BB749F">
      <w:pPr>
        <w:pStyle w:val="B1"/>
        <w:numPr>
          <w:ilvl w:val="0"/>
          <w:numId w:val="0"/>
        </w:numPr>
      </w:pPr>
      <w:r w:rsidRPr="00AE3B33">
        <w:t xml:space="preserve">The </w:t>
      </w:r>
      <w:r w:rsidRPr="00AE3B33">
        <w:rPr>
          <w:rFonts w:ascii="Courier New" w:hAnsi="Courier New"/>
        </w:rPr>
        <w:t>toBeSigned</w:t>
      </w:r>
      <w:r w:rsidRPr="00AE3B33">
        <w:t xml:space="preserve"> component </w:t>
      </w:r>
      <w:r w:rsidRPr="00AE3B33">
        <w:rPr>
          <w:rFonts w:ascii="Courier New" w:hAnsi="Courier New"/>
        </w:rPr>
        <w:t>CertificateId</w:t>
      </w:r>
      <w:r w:rsidRPr="00AE3B33">
        <w:t xml:space="preserve"> shall be set to the choice </w:t>
      </w:r>
      <w:r w:rsidRPr="00AE3B33">
        <w:rPr>
          <w:rFonts w:ascii="Courier New" w:hAnsi="Courier New"/>
        </w:rPr>
        <w:t>name</w:t>
      </w:r>
      <w:r w:rsidRPr="00AE3B33">
        <w:t xml:space="preserve"> and contain the unique name string associated to the TLM.</w:t>
      </w:r>
    </w:p>
    <w:p w14:paraId="6D421704" w14:textId="77777777" w:rsidR="00BB749F" w:rsidRPr="00AE3B33" w:rsidRDefault="00BB749F" w:rsidP="00BB749F">
      <w:pPr>
        <w:pStyle w:val="B1"/>
        <w:numPr>
          <w:ilvl w:val="0"/>
          <w:numId w:val="0"/>
        </w:numPr>
      </w:pPr>
      <w:r w:rsidRPr="00AE3B33">
        <w:t xml:space="preserve">These </w:t>
      </w:r>
      <w:r w:rsidRPr="00AE3B33">
        <w:rPr>
          <w:rFonts w:ascii="Courier New" w:hAnsi="Courier New"/>
        </w:rPr>
        <w:t>toBeSigned</w:t>
      </w:r>
      <w:r w:rsidRPr="00AE3B33">
        <w:t xml:space="preserve"> components shall be absent:</w:t>
      </w:r>
    </w:p>
    <w:p w14:paraId="1B79EBAB" w14:textId="77777777" w:rsidR="00BB749F" w:rsidRPr="00AE3B33" w:rsidRDefault="00BB749F" w:rsidP="00BB749F">
      <w:pPr>
        <w:pStyle w:val="B1"/>
        <w:rPr>
          <w:rFonts w:ascii="Courier New" w:hAnsi="Courier New"/>
        </w:rPr>
      </w:pPr>
      <w:r w:rsidRPr="00AE3B33">
        <w:rPr>
          <w:rFonts w:ascii="Courier New" w:hAnsi="Courier New"/>
        </w:rPr>
        <w:t>encryptionKey.</w:t>
      </w:r>
    </w:p>
    <w:p w14:paraId="2F52B24C" w14:textId="77777777" w:rsidR="00BB749F" w:rsidRPr="005B0AA4" w:rsidRDefault="00BB749F" w:rsidP="00BB749F">
      <w:pPr>
        <w:pStyle w:val="B1"/>
        <w:overflowPunct/>
        <w:autoSpaceDE/>
        <w:autoSpaceDN/>
        <w:adjustRightInd/>
        <w:spacing w:after="0"/>
        <w:textAlignment w:val="auto"/>
      </w:pPr>
      <w:r w:rsidRPr="00AE3B33">
        <w:rPr>
          <w:rFonts w:ascii="Courier New" w:hAnsi="Courier New"/>
        </w:rPr>
        <w:t>certIssuePermissions</w:t>
      </w:r>
      <w:r w:rsidRPr="00AE3B33">
        <w:rPr>
          <w:rFonts w:ascii="CourierNewPSMT" w:hAnsi="CourierNewPSMT" w:cs="CourierNewPSMT"/>
          <w:sz w:val="15"/>
          <w:szCs w:val="15"/>
          <w:lang w:eastAsia="de-DE"/>
        </w:rPr>
        <w:t>.</w:t>
      </w:r>
    </w:p>
    <w:p w14:paraId="1DA55019" w14:textId="77777777" w:rsidR="00483F93" w:rsidRDefault="00483F93" w:rsidP="00C91487">
      <w:pPr>
        <w:rPr>
          <w:rFonts w:ascii="Courier New" w:hAnsi="Courier New" w:cs="Courier New"/>
          <w:lang w:val="en-US" w:eastAsia="ja-JP"/>
        </w:rPr>
      </w:pPr>
    </w:p>
    <w:sectPr w:rsidR="00483F93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3A69" w14:textId="77777777" w:rsidR="00A219F1" w:rsidRDefault="00A219F1" w:rsidP="002E506E">
      <w:r>
        <w:separator/>
      </w:r>
    </w:p>
  </w:endnote>
  <w:endnote w:type="continuationSeparator" w:id="0">
    <w:p w14:paraId="2F674038" w14:textId="77777777" w:rsidR="00A219F1" w:rsidRDefault="00A219F1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D935" w14:textId="77777777" w:rsidR="00A219F1" w:rsidRDefault="00A219F1" w:rsidP="002E506E">
      <w:r>
        <w:separator/>
      </w:r>
    </w:p>
  </w:footnote>
  <w:footnote w:type="continuationSeparator" w:id="0">
    <w:p w14:paraId="1874F858" w14:textId="77777777" w:rsidR="00A219F1" w:rsidRDefault="00A219F1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B08"/>
    <w:rsid w:val="0004704E"/>
    <w:rsid w:val="000512F3"/>
    <w:rsid w:val="0005595D"/>
    <w:rsid w:val="000571E6"/>
    <w:rsid w:val="00057A1C"/>
    <w:rsid w:val="00063CBA"/>
    <w:rsid w:val="000753A2"/>
    <w:rsid w:val="00091BC4"/>
    <w:rsid w:val="000929C5"/>
    <w:rsid w:val="00095225"/>
    <w:rsid w:val="000A52DF"/>
    <w:rsid w:val="000C1C0D"/>
    <w:rsid w:val="000C3954"/>
    <w:rsid w:val="000C46AA"/>
    <w:rsid w:val="000C71B6"/>
    <w:rsid w:val="000D721A"/>
    <w:rsid w:val="000E393D"/>
    <w:rsid w:val="000E63DC"/>
    <w:rsid w:val="000F1807"/>
    <w:rsid w:val="000F5719"/>
    <w:rsid w:val="000F7A3E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206E"/>
    <w:rsid w:val="001923CE"/>
    <w:rsid w:val="001A32A1"/>
    <w:rsid w:val="001B0EDE"/>
    <w:rsid w:val="001D4F32"/>
    <w:rsid w:val="001F5976"/>
    <w:rsid w:val="001F6FC9"/>
    <w:rsid w:val="00203EDB"/>
    <w:rsid w:val="0020426E"/>
    <w:rsid w:val="00221B22"/>
    <w:rsid w:val="00254E90"/>
    <w:rsid w:val="00264490"/>
    <w:rsid w:val="00287369"/>
    <w:rsid w:val="00291FEA"/>
    <w:rsid w:val="002948B2"/>
    <w:rsid w:val="002A2F4B"/>
    <w:rsid w:val="002A4DC0"/>
    <w:rsid w:val="002B2344"/>
    <w:rsid w:val="002B3486"/>
    <w:rsid w:val="002B66BF"/>
    <w:rsid w:val="002C1566"/>
    <w:rsid w:val="002C56CB"/>
    <w:rsid w:val="002C67C0"/>
    <w:rsid w:val="002E1E93"/>
    <w:rsid w:val="002E41DB"/>
    <w:rsid w:val="002E506E"/>
    <w:rsid w:val="002E6C8F"/>
    <w:rsid w:val="00306E87"/>
    <w:rsid w:val="00313DD2"/>
    <w:rsid w:val="003520B7"/>
    <w:rsid w:val="003718B0"/>
    <w:rsid w:val="00372614"/>
    <w:rsid w:val="00384C25"/>
    <w:rsid w:val="00386106"/>
    <w:rsid w:val="0039126A"/>
    <w:rsid w:val="00396E22"/>
    <w:rsid w:val="003B5F9C"/>
    <w:rsid w:val="003C0E95"/>
    <w:rsid w:val="003C2324"/>
    <w:rsid w:val="003D12FE"/>
    <w:rsid w:val="003D2600"/>
    <w:rsid w:val="003D6132"/>
    <w:rsid w:val="003E000A"/>
    <w:rsid w:val="003E17E9"/>
    <w:rsid w:val="003E5D50"/>
    <w:rsid w:val="003F4DBD"/>
    <w:rsid w:val="00405708"/>
    <w:rsid w:val="00407CD6"/>
    <w:rsid w:val="00416A24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50521A"/>
    <w:rsid w:val="005128E4"/>
    <w:rsid w:val="00513084"/>
    <w:rsid w:val="00513B4E"/>
    <w:rsid w:val="00526CD1"/>
    <w:rsid w:val="00527EB2"/>
    <w:rsid w:val="00533111"/>
    <w:rsid w:val="00537B1D"/>
    <w:rsid w:val="0054010E"/>
    <w:rsid w:val="005543B7"/>
    <w:rsid w:val="00571266"/>
    <w:rsid w:val="00571BE4"/>
    <w:rsid w:val="0057520D"/>
    <w:rsid w:val="0058195E"/>
    <w:rsid w:val="005A2D2B"/>
    <w:rsid w:val="005A4DEC"/>
    <w:rsid w:val="005B771A"/>
    <w:rsid w:val="005E0F3C"/>
    <w:rsid w:val="005F05CB"/>
    <w:rsid w:val="005F18AE"/>
    <w:rsid w:val="006117D0"/>
    <w:rsid w:val="00614943"/>
    <w:rsid w:val="006219FB"/>
    <w:rsid w:val="0062501E"/>
    <w:rsid w:val="00631C13"/>
    <w:rsid w:val="00633840"/>
    <w:rsid w:val="00637AE2"/>
    <w:rsid w:val="00637E05"/>
    <w:rsid w:val="00640AAD"/>
    <w:rsid w:val="0064392B"/>
    <w:rsid w:val="00644903"/>
    <w:rsid w:val="00657FFD"/>
    <w:rsid w:val="0066120D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7250D0"/>
    <w:rsid w:val="0072795A"/>
    <w:rsid w:val="007279D9"/>
    <w:rsid w:val="00735A1B"/>
    <w:rsid w:val="0074672F"/>
    <w:rsid w:val="00747DEA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E5C2D"/>
    <w:rsid w:val="007F227B"/>
    <w:rsid w:val="007F635F"/>
    <w:rsid w:val="008000CC"/>
    <w:rsid w:val="0080105E"/>
    <w:rsid w:val="00803E81"/>
    <w:rsid w:val="00810F80"/>
    <w:rsid w:val="00827D68"/>
    <w:rsid w:val="0083645B"/>
    <w:rsid w:val="00840758"/>
    <w:rsid w:val="00843673"/>
    <w:rsid w:val="0085274E"/>
    <w:rsid w:val="008600D6"/>
    <w:rsid w:val="0086390B"/>
    <w:rsid w:val="0087720C"/>
    <w:rsid w:val="00881DD4"/>
    <w:rsid w:val="00882F5A"/>
    <w:rsid w:val="008930FF"/>
    <w:rsid w:val="0089363E"/>
    <w:rsid w:val="008959EE"/>
    <w:rsid w:val="008A0498"/>
    <w:rsid w:val="008B47D0"/>
    <w:rsid w:val="008B65B8"/>
    <w:rsid w:val="008C4287"/>
    <w:rsid w:val="008C7D33"/>
    <w:rsid w:val="008D1CD5"/>
    <w:rsid w:val="008D38E8"/>
    <w:rsid w:val="008D6F30"/>
    <w:rsid w:val="008E6364"/>
    <w:rsid w:val="008E6D64"/>
    <w:rsid w:val="008F0B42"/>
    <w:rsid w:val="009026EE"/>
    <w:rsid w:val="00906626"/>
    <w:rsid w:val="00910506"/>
    <w:rsid w:val="00911BA2"/>
    <w:rsid w:val="0092193E"/>
    <w:rsid w:val="009460FC"/>
    <w:rsid w:val="00954D30"/>
    <w:rsid w:val="00956F2C"/>
    <w:rsid w:val="00960086"/>
    <w:rsid w:val="009652EA"/>
    <w:rsid w:val="0098085F"/>
    <w:rsid w:val="009A2325"/>
    <w:rsid w:val="009A639A"/>
    <w:rsid w:val="009B22FA"/>
    <w:rsid w:val="009B635E"/>
    <w:rsid w:val="009B78A4"/>
    <w:rsid w:val="009C3B83"/>
    <w:rsid w:val="009D32EB"/>
    <w:rsid w:val="009F6825"/>
    <w:rsid w:val="00A0424F"/>
    <w:rsid w:val="00A219F1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40E3"/>
    <w:rsid w:val="00AB523C"/>
    <w:rsid w:val="00AB75BC"/>
    <w:rsid w:val="00AC125F"/>
    <w:rsid w:val="00AC34B8"/>
    <w:rsid w:val="00AC7759"/>
    <w:rsid w:val="00AF447D"/>
    <w:rsid w:val="00AF7903"/>
    <w:rsid w:val="00B156EF"/>
    <w:rsid w:val="00B157E0"/>
    <w:rsid w:val="00B205A4"/>
    <w:rsid w:val="00B246B4"/>
    <w:rsid w:val="00B3718C"/>
    <w:rsid w:val="00B5014F"/>
    <w:rsid w:val="00B67811"/>
    <w:rsid w:val="00B87ED7"/>
    <w:rsid w:val="00BB6285"/>
    <w:rsid w:val="00BB749F"/>
    <w:rsid w:val="00BC0BA0"/>
    <w:rsid w:val="00BC0D90"/>
    <w:rsid w:val="00BC5979"/>
    <w:rsid w:val="00BD7969"/>
    <w:rsid w:val="00BF5AB2"/>
    <w:rsid w:val="00C01503"/>
    <w:rsid w:val="00C12374"/>
    <w:rsid w:val="00C1304B"/>
    <w:rsid w:val="00C145D8"/>
    <w:rsid w:val="00C23608"/>
    <w:rsid w:val="00C40FD5"/>
    <w:rsid w:val="00C41530"/>
    <w:rsid w:val="00C41F9E"/>
    <w:rsid w:val="00C642A3"/>
    <w:rsid w:val="00C75D02"/>
    <w:rsid w:val="00C90B6F"/>
    <w:rsid w:val="00C91487"/>
    <w:rsid w:val="00CC39D9"/>
    <w:rsid w:val="00CD11D0"/>
    <w:rsid w:val="00CD428D"/>
    <w:rsid w:val="00CD5F64"/>
    <w:rsid w:val="00CF24E9"/>
    <w:rsid w:val="00CF4631"/>
    <w:rsid w:val="00CF58CD"/>
    <w:rsid w:val="00CF73FB"/>
    <w:rsid w:val="00D25F15"/>
    <w:rsid w:val="00D271B8"/>
    <w:rsid w:val="00D344AC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2A44"/>
    <w:rsid w:val="00E65776"/>
    <w:rsid w:val="00E81BA9"/>
    <w:rsid w:val="00E91B66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547E"/>
    <w:rsid w:val="00EF2B2F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A3F67"/>
    <w:rsid w:val="00FA5CF7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BB749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box.etsi.org/ITS/ITS/05-CONTRIBUTIONS/2020/ITS(20)038032_EU_CCMS_Follow-up_of_PlugTest_and_updates_required_in_standa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C5C371EEAAF45941A00D155251589" ma:contentTypeVersion="13" ma:contentTypeDescription="Create a new document." ma:contentTypeScope="" ma:versionID="08e32abd76557669908e0b873ebdf785">
  <xsd:schema xmlns:xsd="http://www.w3.org/2001/XMLSchema" xmlns:xs="http://www.w3.org/2001/XMLSchema" xmlns:p="http://schemas.microsoft.com/office/2006/metadata/properties" xmlns:ns3="c6b06b99-f046-409a-ab00-cad578d496ea" xmlns:ns4="4feb20ac-6128-4dbb-8a7c-0645b10b2e97" targetNamespace="http://schemas.microsoft.com/office/2006/metadata/properties" ma:root="true" ma:fieldsID="7cb4041d3147ad6484d2de633a316626" ns3:_="" ns4:_="">
    <xsd:import namespace="c6b06b99-f046-409a-ab00-cad578d496ea"/>
    <xsd:import namespace="4feb20ac-6128-4dbb-8a7c-0645b10b2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06b99-f046-409a-ab00-cad578d49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20ac-6128-4dbb-8a7c-0645b10b2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128DF-B5D1-4920-BCAB-6A58B4E4E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06b99-f046-409a-ab00-cad578d496ea"/>
    <ds:schemaRef ds:uri="4feb20ac-6128-4dbb-8a7c-0645b10b2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28</cp:revision>
  <dcterms:created xsi:type="dcterms:W3CDTF">2020-03-06T00:28:00Z</dcterms:created>
  <dcterms:modified xsi:type="dcterms:W3CDTF">2020-07-03T09:46:00Z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0x010100474C5C371EEAAF45941A00D155251589</vt:lpwstr>
  </property>
</Properties>
</file>