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5"/>
        <w:gridCol w:w="5865"/>
      </w:tblGrid>
      <w:tr w:rsidR="0007181A" w:rsidRPr="00BE3A2B" w:rsidTr="00773364">
        <w:tc>
          <w:tcPr>
            <w:tcW w:w="3181" w:type="dxa"/>
            <w:vMerge w:val="restart"/>
            <w:vAlign w:val="center"/>
          </w:tcPr>
          <w:p w:rsidR="0007181A" w:rsidRPr="006322EB" w:rsidRDefault="0055073B" w:rsidP="002B3C3B">
            <w:r>
              <w:pict>
                <v:shape id="_x0000_i1025" type="#_x0000_t75" style="width:177pt;height:57pt">
                  <v:imagedata r:id="rId7" o:title="ETSI_logo_Office_Colour_Small"/>
                </v:shape>
              </w:pict>
            </w:r>
          </w:p>
        </w:tc>
        <w:tc>
          <w:tcPr>
            <w:tcW w:w="6439" w:type="dxa"/>
            <w:vAlign w:val="center"/>
          </w:tcPr>
          <w:p w:rsidR="0007181A" w:rsidRPr="00BE3A2B" w:rsidRDefault="0007181A" w:rsidP="007234F7">
            <w:pPr>
              <w:pStyle w:val="Header"/>
              <w:jc w:val="right"/>
              <w:rPr>
                <w:b/>
                <w:i/>
                <w:sz w:val="32"/>
                <w:szCs w:val="32"/>
                <w:lang w:val="da-DK"/>
              </w:rPr>
            </w:pPr>
            <w:r w:rsidRPr="00BE3A2B">
              <w:rPr>
                <w:b/>
                <w:i/>
                <w:sz w:val="32"/>
                <w:szCs w:val="32"/>
                <w:lang w:val="da-DK"/>
              </w:rPr>
              <w:t xml:space="preserve">ToR STF </w:t>
            </w:r>
            <w:r w:rsidR="007234F7" w:rsidRPr="00BE3A2B">
              <w:rPr>
                <w:b/>
                <w:i/>
                <w:sz w:val="32"/>
                <w:szCs w:val="32"/>
                <w:lang w:val="da-DK"/>
              </w:rPr>
              <w:t xml:space="preserve">XF </w:t>
            </w:r>
            <w:r w:rsidRPr="00BE3A2B">
              <w:rPr>
                <w:b/>
                <w:i/>
                <w:sz w:val="32"/>
                <w:szCs w:val="32"/>
                <w:lang w:val="da-DK"/>
              </w:rPr>
              <w:t>(</w:t>
            </w:r>
            <w:r w:rsidR="00FD5785" w:rsidRPr="00BE3A2B">
              <w:rPr>
                <w:b/>
                <w:i/>
                <w:sz w:val="32"/>
                <w:szCs w:val="32"/>
                <w:lang w:val="da-DK"/>
              </w:rPr>
              <w:t xml:space="preserve">TC </w:t>
            </w:r>
            <w:r w:rsidR="0007071A" w:rsidRPr="00BE3A2B">
              <w:rPr>
                <w:b/>
                <w:i/>
                <w:sz w:val="32"/>
                <w:szCs w:val="32"/>
                <w:lang w:val="da-DK"/>
              </w:rPr>
              <w:t>MTS</w:t>
            </w:r>
            <w:r w:rsidRPr="00BE3A2B">
              <w:rPr>
                <w:b/>
                <w:i/>
                <w:sz w:val="32"/>
                <w:szCs w:val="32"/>
                <w:lang w:val="da-DK"/>
              </w:rPr>
              <w:t xml:space="preserve">) </w:t>
            </w:r>
          </w:p>
        </w:tc>
      </w:tr>
      <w:tr w:rsidR="0007181A" w:rsidRPr="006322EB" w:rsidTr="00773364">
        <w:tc>
          <w:tcPr>
            <w:tcW w:w="3181" w:type="dxa"/>
            <w:vMerge/>
            <w:vAlign w:val="center"/>
          </w:tcPr>
          <w:p w:rsidR="0007181A" w:rsidRPr="00BE3A2B" w:rsidRDefault="0007181A" w:rsidP="002146B2">
            <w:pPr>
              <w:pStyle w:val="Header"/>
              <w:jc w:val="right"/>
              <w:rPr>
                <w:szCs w:val="32"/>
                <w:lang w:val="da-DK"/>
              </w:rPr>
            </w:pPr>
          </w:p>
        </w:tc>
        <w:tc>
          <w:tcPr>
            <w:tcW w:w="6439" w:type="dxa"/>
            <w:vAlign w:val="center"/>
          </w:tcPr>
          <w:p w:rsidR="0007181A" w:rsidRPr="006322EB" w:rsidRDefault="0007181A" w:rsidP="00C44E88">
            <w:pPr>
              <w:pStyle w:val="Header"/>
              <w:jc w:val="right"/>
            </w:pPr>
            <w:r w:rsidRPr="006322EB">
              <w:t xml:space="preserve">Version: </w:t>
            </w:r>
            <w:r w:rsidR="005F1768" w:rsidRPr="006322EB">
              <w:t>0.</w:t>
            </w:r>
            <w:r w:rsidR="00C44E88">
              <w:t>6</w:t>
            </w:r>
          </w:p>
        </w:tc>
      </w:tr>
      <w:tr w:rsidR="0007181A" w:rsidRPr="006322EB" w:rsidTr="00773364">
        <w:tc>
          <w:tcPr>
            <w:tcW w:w="3181" w:type="dxa"/>
            <w:vMerge/>
            <w:vAlign w:val="center"/>
          </w:tcPr>
          <w:p w:rsidR="0007181A" w:rsidRPr="006322EB" w:rsidRDefault="0007181A" w:rsidP="002146B2">
            <w:pPr>
              <w:pStyle w:val="Header"/>
              <w:jc w:val="right"/>
            </w:pPr>
          </w:p>
        </w:tc>
        <w:tc>
          <w:tcPr>
            <w:tcW w:w="6439" w:type="dxa"/>
            <w:vAlign w:val="center"/>
          </w:tcPr>
          <w:p w:rsidR="0007181A" w:rsidRPr="006322EB" w:rsidRDefault="0007181A" w:rsidP="006B497B">
            <w:pPr>
              <w:pStyle w:val="Header"/>
              <w:jc w:val="right"/>
            </w:pPr>
            <w:r w:rsidRPr="006322EB">
              <w:t>Author:</w:t>
            </w:r>
            <w:r w:rsidR="00DD580B" w:rsidRPr="006322EB">
              <w:t xml:space="preserve"> </w:t>
            </w:r>
            <w:r w:rsidR="0007071A" w:rsidRPr="006322EB">
              <w:t>Andreas Ulrich</w:t>
            </w:r>
            <w:r w:rsidR="00DD580B" w:rsidRPr="006322EB">
              <w:t xml:space="preserve"> </w:t>
            </w:r>
            <w:r w:rsidRPr="006322EB">
              <w:t>– Date:</w:t>
            </w:r>
            <w:r w:rsidR="006B497B">
              <w:t>10</w:t>
            </w:r>
            <w:r w:rsidR="006B497B" w:rsidRPr="006322EB">
              <w:t xml:space="preserve"> </w:t>
            </w:r>
            <w:r w:rsidR="0007071A" w:rsidRPr="006322EB">
              <w:t>Oct</w:t>
            </w:r>
            <w:r w:rsidR="00DD580B" w:rsidRPr="006322EB">
              <w:t xml:space="preserve"> </w:t>
            </w:r>
            <w:r w:rsidR="0007071A" w:rsidRPr="006322EB">
              <w:t>2012</w:t>
            </w:r>
            <w:r w:rsidRPr="006322EB">
              <w:t xml:space="preserve"> </w:t>
            </w:r>
          </w:p>
        </w:tc>
      </w:tr>
      <w:tr w:rsidR="0007181A" w:rsidRPr="006322EB" w:rsidTr="00773364">
        <w:tc>
          <w:tcPr>
            <w:tcW w:w="3181" w:type="dxa"/>
            <w:vMerge/>
            <w:vAlign w:val="center"/>
          </w:tcPr>
          <w:p w:rsidR="0007181A" w:rsidRPr="006322EB" w:rsidRDefault="0007181A" w:rsidP="002146B2">
            <w:pPr>
              <w:pStyle w:val="Header"/>
              <w:jc w:val="right"/>
            </w:pPr>
          </w:p>
        </w:tc>
        <w:tc>
          <w:tcPr>
            <w:tcW w:w="6439" w:type="dxa"/>
            <w:vAlign w:val="center"/>
          </w:tcPr>
          <w:p w:rsidR="0007181A" w:rsidRPr="006322EB" w:rsidRDefault="0007181A" w:rsidP="00570BBB">
            <w:pPr>
              <w:pStyle w:val="Header"/>
              <w:jc w:val="right"/>
            </w:pPr>
            <w:r w:rsidRPr="006322EB">
              <w:t>Last updated by:</w:t>
            </w:r>
            <w:r w:rsidR="00FD5785" w:rsidRPr="006322EB">
              <w:t xml:space="preserve"> </w:t>
            </w:r>
            <w:r w:rsidR="00121D6C">
              <w:t>Alberto Berrini</w:t>
            </w:r>
            <w:r w:rsidR="006F582B" w:rsidRPr="006322EB">
              <w:t>– Date:</w:t>
            </w:r>
            <w:r w:rsidR="00570BBB">
              <w:t xml:space="preserve">17 </w:t>
            </w:r>
            <w:r w:rsidR="00121D6C">
              <w:t>October 2012</w:t>
            </w:r>
          </w:p>
        </w:tc>
      </w:tr>
      <w:tr w:rsidR="0007181A" w:rsidRPr="006322EB" w:rsidTr="00773364">
        <w:tc>
          <w:tcPr>
            <w:tcW w:w="3181" w:type="dxa"/>
            <w:vMerge/>
            <w:vAlign w:val="center"/>
          </w:tcPr>
          <w:p w:rsidR="0007181A" w:rsidRPr="006322EB" w:rsidRDefault="0007181A" w:rsidP="002146B2">
            <w:pPr>
              <w:pStyle w:val="Header"/>
              <w:jc w:val="right"/>
            </w:pPr>
          </w:p>
        </w:tc>
        <w:tc>
          <w:tcPr>
            <w:tcW w:w="6439" w:type="dxa"/>
            <w:vAlign w:val="center"/>
          </w:tcPr>
          <w:p w:rsidR="0007181A" w:rsidRPr="006322EB" w:rsidRDefault="0007181A" w:rsidP="002146B2">
            <w:pPr>
              <w:pStyle w:val="Header"/>
              <w:jc w:val="right"/>
            </w:pPr>
            <w:r w:rsidRPr="006322EB">
              <w:t xml:space="preserve">page </w:t>
            </w:r>
            <w:fldSimple w:instr=" PAGE   \* MERGEFORMAT ">
              <w:r w:rsidR="00BE3A2B">
                <w:rPr>
                  <w:noProof/>
                </w:rPr>
                <w:t>1</w:t>
              </w:r>
            </w:fldSimple>
            <w:r w:rsidRPr="006322EB">
              <w:t xml:space="preserve"> of </w:t>
            </w:r>
            <w:fldSimple w:instr=" NUMPAGES   \* MERGEFORMAT ">
              <w:r w:rsidR="00615997" w:rsidRPr="006322EB">
                <w:rPr>
                  <w:noProof/>
                </w:rPr>
                <w:t>7</w:t>
              </w:r>
            </w:fldSimple>
          </w:p>
        </w:tc>
      </w:tr>
    </w:tbl>
    <w:p w:rsidR="0007181A" w:rsidRPr="006322EB" w:rsidRDefault="0007181A"/>
    <w:p w:rsidR="0007181A" w:rsidRPr="006322EB" w:rsidRDefault="0007181A" w:rsidP="00B95033"/>
    <w:p w:rsidR="001C0CBC" w:rsidRPr="006322EB" w:rsidRDefault="0007181A" w:rsidP="00A5599B">
      <w:pPr>
        <w:pStyle w:val="ZT"/>
      </w:pPr>
      <w:r w:rsidRPr="006322EB">
        <w:t xml:space="preserve">Terms of Reference </w:t>
      </w:r>
      <w:r w:rsidR="00A5599B" w:rsidRPr="006322EB">
        <w:t xml:space="preserve">- </w:t>
      </w:r>
      <w:r w:rsidRPr="006322EB">
        <w:t>Specia</w:t>
      </w:r>
      <w:r w:rsidR="001C0CBC" w:rsidRPr="006322EB">
        <w:t>list Task Force</w:t>
      </w:r>
    </w:p>
    <w:p w:rsidR="001C0CBC" w:rsidRPr="006322EB" w:rsidRDefault="0007181A" w:rsidP="00A5599B">
      <w:pPr>
        <w:pStyle w:val="ZT"/>
      </w:pPr>
      <w:r w:rsidRPr="006322EB">
        <w:t xml:space="preserve">STF </w:t>
      </w:r>
      <w:r w:rsidR="002928A7">
        <w:t>XF</w:t>
      </w:r>
      <w:r w:rsidRPr="006322EB">
        <w:t xml:space="preserve"> (</w:t>
      </w:r>
      <w:r w:rsidR="001C0CBC" w:rsidRPr="006322EB">
        <w:t>TC</w:t>
      </w:r>
      <w:r w:rsidR="006F582B" w:rsidRPr="006322EB">
        <w:t xml:space="preserve"> </w:t>
      </w:r>
      <w:r w:rsidR="0007071A" w:rsidRPr="006322EB">
        <w:t>MT</w:t>
      </w:r>
      <w:r w:rsidR="00F46C3A" w:rsidRPr="006322EB">
        <w:t>S</w:t>
      </w:r>
      <w:r w:rsidRPr="006322EB">
        <w:t>)</w:t>
      </w:r>
    </w:p>
    <w:p w:rsidR="0007181A" w:rsidRPr="006322EB" w:rsidRDefault="00F46C3A" w:rsidP="00A5599B">
      <w:pPr>
        <w:pStyle w:val="ZT"/>
      </w:pPr>
      <w:r w:rsidRPr="006322EB">
        <w:t xml:space="preserve">Design of the </w:t>
      </w:r>
      <w:r w:rsidR="0007071A" w:rsidRPr="006322EB">
        <w:t>Test Description Language (TDL)</w:t>
      </w:r>
    </w:p>
    <w:p w:rsidR="006718C2" w:rsidRPr="006322EB" w:rsidRDefault="006718C2" w:rsidP="006718C2"/>
    <w:p w:rsidR="0007181A" w:rsidRPr="006322EB" w:rsidRDefault="006718C2" w:rsidP="001350FA">
      <w:pPr>
        <w:rPr>
          <w:b/>
          <w:sz w:val="24"/>
          <w:szCs w:val="24"/>
        </w:rPr>
      </w:pPr>
      <w:r w:rsidRPr="006322EB">
        <w:rPr>
          <w:b/>
          <w:sz w:val="24"/>
          <w:szCs w:val="24"/>
        </w:rPr>
        <w:t>Summary information</w:t>
      </w:r>
    </w:p>
    <w:p w:rsidR="00873FA3" w:rsidRPr="006322EB" w:rsidRDefault="00873FA3" w:rsidP="00873FA3"/>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236"/>
      </w:tblGrid>
      <w:tr w:rsidR="0007181A" w:rsidRPr="006322EB" w:rsidTr="00ED1965">
        <w:tc>
          <w:tcPr>
            <w:tcW w:w="1384" w:type="dxa"/>
            <w:tcMar>
              <w:top w:w="28" w:type="dxa"/>
              <w:bottom w:w="28" w:type="dxa"/>
            </w:tcMar>
          </w:tcPr>
          <w:p w:rsidR="0007181A" w:rsidRPr="006322EB" w:rsidRDefault="00255D75" w:rsidP="00255D75">
            <w:pPr>
              <w:jc w:val="left"/>
            </w:pPr>
            <w:r w:rsidRPr="006322EB">
              <w:t>Approval s</w:t>
            </w:r>
            <w:r w:rsidR="0007181A" w:rsidRPr="006322EB">
              <w:t>tatus</w:t>
            </w:r>
          </w:p>
        </w:tc>
        <w:tc>
          <w:tcPr>
            <w:tcW w:w="8236" w:type="dxa"/>
            <w:tcMar>
              <w:top w:w="28" w:type="dxa"/>
              <w:bottom w:w="28" w:type="dxa"/>
            </w:tcMar>
          </w:tcPr>
          <w:p w:rsidR="0007181A" w:rsidRPr="006322EB" w:rsidRDefault="001622BF" w:rsidP="00C43A8E">
            <w:r>
              <w:t>To be a</w:t>
            </w:r>
            <w:r w:rsidR="00C43A8E" w:rsidRPr="006322EB">
              <w:t xml:space="preserve">pproved by TC </w:t>
            </w:r>
            <w:r w:rsidR="00F46C3A" w:rsidRPr="006322EB">
              <w:t>MTS</w:t>
            </w:r>
            <w:r w:rsidR="00C43A8E" w:rsidRPr="006322EB">
              <w:t xml:space="preserve"> </w:t>
            </w:r>
            <w:r>
              <w:t xml:space="preserve">by Remote Consensus </w:t>
            </w:r>
            <w:r w:rsidR="002C76EC">
              <w:t>(ending 24-Oct)</w:t>
            </w:r>
          </w:p>
          <w:p w:rsidR="00C43A8E" w:rsidRPr="006322EB" w:rsidRDefault="00C43A8E" w:rsidP="000A35E8">
            <w:r w:rsidRPr="006322EB">
              <w:t>To be approved by Board#</w:t>
            </w:r>
            <w:r w:rsidR="000A35E8">
              <w:t>90</w:t>
            </w:r>
            <w:r w:rsidR="000A35E8" w:rsidRPr="006322EB">
              <w:t xml:space="preserve"> </w:t>
            </w:r>
            <w:r w:rsidR="007E2B68" w:rsidRPr="006322EB">
              <w:t>(</w:t>
            </w:r>
            <w:r w:rsidR="000A35E8">
              <w:t>15/11/2012</w:t>
            </w:r>
            <w:r w:rsidR="007E2B68" w:rsidRPr="006322EB">
              <w:t>)</w:t>
            </w:r>
          </w:p>
        </w:tc>
      </w:tr>
      <w:tr w:rsidR="000B331A" w:rsidRPr="006322EB"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6322EB" w:rsidRDefault="000B331A" w:rsidP="002465C1">
            <w:pPr>
              <w:jc w:val="left"/>
            </w:pPr>
            <w:r w:rsidRPr="006322EB">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6322EB" w:rsidRDefault="00FB35D0" w:rsidP="002465C1">
            <w:pPr>
              <w:jc w:val="left"/>
              <w:rPr>
                <w:rFonts w:cs="Arial"/>
              </w:rPr>
            </w:pPr>
            <w:r>
              <w:rPr>
                <w:rFonts w:cs="Arial"/>
              </w:rPr>
              <w:t>81 600</w:t>
            </w:r>
            <w:r w:rsidR="000B331A" w:rsidRPr="006322EB">
              <w:rPr>
                <w:rFonts w:cs="Arial"/>
              </w:rPr>
              <w:t xml:space="preserve"> €</w:t>
            </w:r>
          </w:p>
          <w:p w:rsidR="000B331A" w:rsidRPr="006322EB" w:rsidRDefault="000B331A" w:rsidP="00FB35D0">
            <w:pPr>
              <w:jc w:val="left"/>
              <w:rPr>
                <w:rFonts w:cs="Arial"/>
              </w:rPr>
            </w:pPr>
            <w:r w:rsidRPr="006322EB">
              <w:rPr>
                <w:rFonts w:cs="Arial"/>
              </w:rPr>
              <w:t xml:space="preserve">voluntary contribution </w:t>
            </w:r>
            <w:r w:rsidR="002A2AA2">
              <w:rPr>
                <w:rFonts w:cs="Arial"/>
              </w:rPr>
              <w:t>20-</w:t>
            </w:r>
            <w:r w:rsidR="00FB35D0">
              <w:rPr>
                <w:rFonts w:cs="Arial"/>
              </w:rPr>
              <w:t>30</w:t>
            </w:r>
            <w:r w:rsidRPr="006322EB">
              <w:rPr>
                <w:rFonts w:cs="Arial"/>
              </w:rPr>
              <w:t>% of total manpower</w:t>
            </w:r>
          </w:p>
        </w:tc>
      </w:tr>
      <w:tr w:rsidR="00D517C9" w:rsidRPr="006322EB"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6322EB" w:rsidRDefault="00D517C9" w:rsidP="00D517C9">
            <w:pPr>
              <w:jc w:val="left"/>
            </w:pPr>
            <w:r w:rsidRPr="006322EB">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6322EB" w:rsidRDefault="00BA3B87" w:rsidP="0007071A">
            <w:r w:rsidRPr="006322EB">
              <w:t>Jan</w:t>
            </w:r>
            <w:r w:rsidR="00ED1965" w:rsidRPr="006322EB">
              <w:t xml:space="preserve"> 201</w:t>
            </w:r>
            <w:r w:rsidR="0007071A" w:rsidRPr="006322EB">
              <w:t>3</w:t>
            </w:r>
            <w:r w:rsidR="006F582B" w:rsidRPr="006322EB">
              <w:t xml:space="preserve"> </w:t>
            </w:r>
            <w:r w:rsidR="00D517C9" w:rsidRPr="006322EB">
              <w:t xml:space="preserve">to </w:t>
            </w:r>
            <w:r w:rsidR="0007071A" w:rsidRPr="006322EB">
              <w:t>Oct</w:t>
            </w:r>
            <w:r w:rsidR="00ED1965" w:rsidRPr="006322EB">
              <w:t xml:space="preserve"> 2013</w:t>
            </w:r>
          </w:p>
        </w:tc>
      </w:tr>
      <w:tr w:rsidR="00255D75" w:rsidRPr="006322EB"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6322EB" w:rsidRDefault="00255D75" w:rsidP="003C10D0">
            <w:pPr>
              <w:jc w:val="left"/>
            </w:pPr>
            <w:r w:rsidRPr="006322EB">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452A89" w:rsidRDefault="002C76EC" w:rsidP="002C76EC">
            <w:pPr>
              <w:jc w:val="left"/>
            </w:pPr>
            <w:r w:rsidRPr="00452A89">
              <w:t xml:space="preserve">DES/MTS-140_TDL </w:t>
            </w:r>
            <w:r w:rsidR="002908C6" w:rsidRPr="00452A89">
              <w:t>“Test Description Language”</w:t>
            </w:r>
          </w:p>
        </w:tc>
      </w:tr>
    </w:tbl>
    <w:p w:rsidR="0007181A" w:rsidRPr="006322EB" w:rsidRDefault="0007181A" w:rsidP="00B95033"/>
    <w:p w:rsidR="00615997" w:rsidRDefault="00615997" w:rsidP="00B95033"/>
    <w:p w:rsidR="00202BFF" w:rsidRDefault="00202BFF" w:rsidP="00B95033"/>
    <w:p w:rsidR="00202BFF" w:rsidRPr="006322EB" w:rsidRDefault="00202BFF" w:rsidP="00B95033"/>
    <w:p w:rsidR="00D737A8" w:rsidRPr="006322EB" w:rsidRDefault="00D737A8" w:rsidP="00A526B3">
      <w:pPr>
        <w:pStyle w:val="Part"/>
      </w:pPr>
      <w:r w:rsidRPr="006322EB">
        <w:t xml:space="preserve">Part I – </w:t>
      </w:r>
      <w:r w:rsidR="00E643BE" w:rsidRPr="006322EB">
        <w:t>Reason</w:t>
      </w:r>
      <w:r w:rsidRPr="006322EB">
        <w:t xml:space="preserve"> for proposing </w:t>
      </w:r>
      <w:r w:rsidR="00A83FE4" w:rsidRPr="006322EB">
        <w:t xml:space="preserve">the </w:t>
      </w:r>
      <w:r w:rsidRPr="006322EB">
        <w:t>STF</w:t>
      </w:r>
    </w:p>
    <w:p w:rsidR="006A62E2" w:rsidRPr="00A526B3" w:rsidRDefault="006A62E2" w:rsidP="006A62E2">
      <w:pPr>
        <w:pStyle w:val="Heading1"/>
      </w:pPr>
      <w:bookmarkStart w:id="0" w:name="_Toc229392236"/>
      <w:bookmarkStart w:id="1" w:name="_Toc229392234"/>
      <w:bookmarkStart w:id="2" w:name="_Ref325990203"/>
      <w:r w:rsidRPr="00A526B3">
        <w:t>Rationale</w:t>
      </w:r>
    </w:p>
    <w:p w:rsidR="006A62E2" w:rsidRDefault="006A62E2" w:rsidP="006A62E2">
      <w:pPr>
        <w:pStyle w:val="Guideline"/>
        <w:rPr>
          <w:i w:val="0"/>
        </w:rPr>
      </w:pPr>
      <w:r>
        <w:rPr>
          <w:i w:val="0"/>
        </w:rPr>
        <w:t xml:space="preserve">The proposed STF will contribute to TC MTS work on the development of the “Test Description Language” (TDL) as a complement to </w:t>
      </w:r>
      <w:proofErr w:type="spellStart"/>
      <w:r>
        <w:rPr>
          <w:i w:val="0"/>
        </w:rPr>
        <w:t>TPLan</w:t>
      </w:r>
      <w:proofErr w:type="spellEnd"/>
      <w:r>
        <w:rPr>
          <w:i w:val="0"/>
        </w:rPr>
        <w:t xml:space="preserve"> (</w:t>
      </w:r>
      <w:r w:rsidRPr="00400919">
        <w:rPr>
          <w:i w:val="0"/>
        </w:rPr>
        <w:t xml:space="preserve">ES </w:t>
      </w:r>
      <w:r w:rsidRPr="000D491F">
        <w:rPr>
          <w:i w:val="0"/>
        </w:rPr>
        <w:t>202 553</w:t>
      </w:r>
      <w:r w:rsidRPr="00400919">
        <w:rPr>
          <w:i w:val="0"/>
        </w:rPr>
        <w:t>)</w:t>
      </w:r>
      <w:r>
        <w:rPr>
          <w:i w:val="0"/>
        </w:rPr>
        <w:t xml:space="preserve"> and TTCN-3 (ES </w:t>
      </w:r>
      <w:r w:rsidRPr="000D491F">
        <w:rPr>
          <w:i w:val="0"/>
        </w:rPr>
        <w:t>201 873</w:t>
      </w:r>
      <w:r>
        <w:rPr>
          <w:i w:val="0"/>
        </w:rPr>
        <w:t>).</w:t>
      </w:r>
    </w:p>
    <w:p w:rsidR="006A62E2" w:rsidRDefault="006A62E2" w:rsidP="006A62E2">
      <w:pPr>
        <w:pStyle w:val="Guideline"/>
        <w:rPr>
          <w:i w:val="0"/>
        </w:rPr>
      </w:pPr>
    </w:p>
    <w:p w:rsidR="006A62E2" w:rsidRDefault="006A62E2" w:rsidP="006A62E2">
      <w:pPr>
        <w:pStyle w:val="Guideline"/>
        <w:rPr>
          <w:i w:val="0"/>
        </w:rPr>
      </w:pPr>
      <w:r>
        <w:rPr>
          <w:i w:val="0"/>
        </w:rPr>
        <w:t xml:space="preserve">TTCN-3 has been a remarkable success story for ETSI in that it is internationally regarded as </w:t>
      </w:r>
      <w:r w:rsidRPr="000D491F">
        <w:t>the</w:t>
      </w:r>
      <w:r>
        <w:rPr>
          <w:i w:val="0"/>
        </w:rPr>
        <w:t xml:space="preserve"> standardized test specification language with world-wide adoption in many domains. However, there has always been a methodology gap between the simple expression of </w:t>
      </w:r>
      <w:r w:rsidRPr="002649D2">
        <w:t>what</w:t>
      </w:r>
      <w:r>
        <w:rPr>
          <w:i w:val="0"/>
        </w:rPr>
        <w:t xml:space="preserve"> needs to be tested i.e., the test purposes described in prose or </w:t>
      </w:r>
      <w:proofErr w:type="spellStart"/>
      <w:r>
        <w:rPr>
          <w:i w:val="0"/>
        </w:rPr>
        <w:t>TPLan</w:t>
      </w:r>
      <w:proofErr w:type="spellEnd"/>
      <w:r>
        <w:rPr>
          <w:i w:val="0"/>
        </w:rPr>
        <w:t xml:space="preserve"> and the complex coding of the executable tests in TTCN-3. </w:t>
      </w:r>
    </w:p>
    <w:p w:rsidR="006A62E2" w:rsidRDefault="006A62E2" w:rsidP="006A62E2">
      <w:pPr>
        <w:pStyle w:val="Guideline"/>
        <w:rPr>
          <w:i w:val="0"/>
        </w:rPr>
      </w:pPr>
    </w:p>
    <w:p w:rsidR="006A62E2" w:rsidRDefault="006A62E2" w:rsidP="006A62E2">
      <w:pPr>
        <w:pStyle w:val="Guideline"/>
        <w:rPr>
          <w:i w:val="0"/>
        </w:rPr>
      </w:pPr>
      <w:r>
        <w:rPr>
          <w:i w:val="0"/>
        </w:rPr>
        <w:t>TDL covers that gap. D</w:t>
      </w:r>
      <w:r w:rsidRPr="000D491F">
        <w:rPr>
          <w:i w:val="0"/>
        </w:rPr>
        <w:t>edicated test description</w:t>
      </w:r>
      <w:r>
        <w:rPr>
          <w:i w:val="0"/>
        </w:rPr>
        <w:t>s</w:t>
      </w:r>
      <w:r w:rsidRPr="000D491F">
        <w:rPr>
          <w:i w:val="0"/>
        </w:rPr>
        <w:t xml:space="preserve"> will have a positive impact on the quality of the tests</w:t>
      </w:r>
      <w:r>
        <w:rPr>
          <w:i w:val="0"/>
        </w:rPr>
        <w:t xml:space="preserve"> through better design and by making them </w:t>
      </w:r>
      <w:r w:rsidRPr="000D491F">
        <w:rPr>
          <w:i w:val="0"/>
        </w:rPr>
        <w:t xml:space="preserve">easier to review by </w:t>
      </w:r>
      <w:r>
        <w:rPr>
          <w:i w:val="0"/>
        </w:rPr>
        <w:t xml:space="preserve">non-testing </w:t>
      </w:r>
      <w:r w:rsidRPr="000D491F">
        <w:rPr>
          <w:i w:val="0"/>
        </w:rPr>
        <w:t xml:space="preserve">experts. This </w:t>
      </w:r>
      <w:r>
        <w:rPr>
          <w:i w:val="0"/>
        </w:rPr>
        <w:t>will improve</w:t>
      </w:r>
      <w:r w:rsidRPr="000D491F">
        <w:rPr>
          <w:i w:val="0"/>
        </w:rPr>
        <w:t xml:space="preserve"> the general productivity </w:t>
      </w:r>
      <w:r>
        <w:rPr>
          <w:i w:val="0"/>
        </w:rPr>
        <w:t>of</w:t>
      </w:r>
      <w:r w:rsidRPr="000D491F">
        <w:rPr>
          <w:i w:val="0"/>
        </w:rPr>
        <w:t xml:space="preserve"> test</w:t>
      </w:r>
      <w:r>
        <w:rPr>
          <w:i w:val="0"/>
        </w:rPr>
        <w:t xml:space="preserve"> development</w:t>
      </w:r>
      <w:r w:rsidRPr="000D491F">
        <w:rPr>
          <w:i w:val="0"/>
        </w:rPr>
        <w:t>.</w:t>
      </w:r>
      <w:r>
        <w:rPr>
          <w:i w:val="0"/>
        </w:rPr>
        <w:t xml:space="preserve"> It opens the door to a new generation of programmers looking to a faster test development process without sacrificing quality. </w:t>
      </w:r>
    </w:p>
    <w:p w:rsidR="006A62E2" w:rsidRDefault="006A62E2" w:rsidP="006A62E2">
      <w:pPr>
        <w:pStyle w:val="Guideline"/>
        <w:rPr>
          <w:i w:val="0"/>
        </w:rPr>
      </w:pPr>
    </w:p>
    <w:p w:rsidR="006A62E2" w:rsidRDefault="006A62E2" w:rsidP="006A62E2">
      <w:pPr>
        <w:pStyle w:val="Guideline"/>
        <w:rPr>
          <w:i w:val="0"/>
        </w:rPr>
      </w:pPr>
      <w:r>
        <w:rPr>
          <w:i w:val="0"/>
        </w:rPr>
        <w:t>This approach is driven by industry to foster the benefits of model-based software engineering at the testing side. TDL is planned to fit into the ETSI test specification development process and</w:t>
      </w:r>
      <w:r w:rsidRPr="00995535">
        <w:rPr>
          <w:i w:val="0"/>
        </w:rPr>
        <w:t xml:space="preserve"> is the second (and currently missing) step in a potentially seamless test development methodology</w:t>
      </w:r>
      <w:r>
        <w:rPr>
          <w:i w:val="0"/>
        </w:rPr>
        <w:t xml:space="preserve">. </w:t>
      </w:r>
    </w:p>
    <w:p w:rsidR="006A62E2" w:rsidRDefault="006A62E2" w:rsidP="006A62E2">
      <w:pPr>
        <w:pStyle w:val="Guideline"/>
        <w:rPr>
          <w:i w:val="0"/>
        </w:rPr>
      </w:pPr>
    </w:p>
    <w:p w:rsidR="006A62E2" w:rsidRDefault="006A62E2" w:rsidP="006A62E2">
      <w:pPr>
        <w:pStyle w:val="Guideline"/>
        <w:rPr>
          <w:i w:val="0"/>
        </w:rPr>
      </w:pPr>
      <w:r>
        <w:rPr>
          <w:i w:val="0"/>
        </w:rPr>
        <w:t xml:space="preserve">TDL introduces modelling techniques (with graphical and textual syntax) to the specification of test descriptions for testing communicating, reactive real-time systems. Many of them are designed and standardized by </w:t>
      </w:r>
      <w:r w:rsidR="00202BFF">
        <w:rPr>
          <w:i w:val="0"/>
        </w:rPr>
        <w:t xml:space="preserve">ETSI and related bodies, e.g., Intelligent Transportation Systems (ITS), TISPAN, Long Term Evolution (LTE) and others. </w:t>
      </w:r>
      <w:r>
        <w:rPr>
          <w:i w:val="0"/>
        </w:rPr>
        <w:t>However, the scope of TDL goes beyond “typical” communicating systems.  It will also support the description of tests in other domains that do not necessarily rely entirely on message-passing communication interfaces. With the advent of new software engineering technologies supporting the design of languages with multiple syntaxes the realization of TDL becomes a feasible task.</w:t>
      </w:r>
    </w:p>
    <w:p w:rsidR="00202BFF" w:rsidRPr="006322EB" w:rsidRDefault="00202BFF" w:rsidP="00202BFF">
      <w:pPr>
        <w:pStyle w:val="Guideline"/>
        <w:rPr>
          <w:i w:val="0"/>
        </w:rPr>
      </w:pPr>
    </w:p>
    <w:p w:rsidR="006A62E2" w:rsidRDefault="006A62E2" w:rsidP="006A62E2">
      <w:pPr>
        <w:pStyle w:val="Guideline"/>
        <w:rPr>
          <w:i w:val="0"/>
        </w:rPr>
      </w:pPr>
    </w:p>
    <w:p w:rsidR="006A62E2" w:rsidRDefault="006A62E2" w:rsidP="006A62E2">
      <w:pPr>
        <w:pStyle w:val="Guideline"/>
        <w:rPr>
          <w:i w:val="0"/>
        </w:rPr>
      </w:pPr>
      <w:r>
        <w:rPr>
          <w:i w:val="0"/>
        </w:rPr>
        <w:t xml:space="preserve">Furthermore, TDL can be used as an intermediate representation of tests generated from other sources, e.g. simulators, test case generators, or logs from existing test runs. TDL therefore contributes to the ongoing activities in TC MTS to establish model-based testing (MBT) technologies </w:t>
      </w:r>
      <w:r>
        <w:rPr>
          <w:i w:val="0"/>
        </w:rPr>
        <w:lastRenderedPageBreak/>
        <w:t>within ETSI that are expressed, for example, in the ETSI standard on requirements on MBT notations (</w:t>
      </w:r>
      <w:r w:rsidRPr="002040AB">
        <w:rPr>
          <w:i w:val="0"/>
        </w:rPr>
        <w:t>ES 202 951</w:t>
      </w:r>
      <w:r>
        <w:rPr>
          <w:i w:val="0"/>
        </w:rPr>
        <w:t>).</w:t>
      </w:r>
    </w:p>
    <w:p w:rsidR="006A62E2" w:rsidRDefault="006A62E2" w:rsidP="006A62E2">
      <w:pPr>
        <w:pStyle w:val="Guideline"/>
        <w:rPr>
          <w:i w:val="0"/>
        </w:rPr>
      </w:pPr>
    </w:p>
    <w:p w:rsidR="00202BFF" w:rsidRDefault="00202BFF" w:rsidP="006A62E2">
      <w:pPr>
        <w:pStyle w:val="Guideline"/>
        <w:rPr>
          <w:i w:val="0"/>
        </w:rPr>
      </w:pPr>
    </w:p>
    <w:p w:rsidR="00E643BE" w:rsidRPr="006322EB" w:rsidRDefault="00E643BE" w:rsidP="00AB0CC7">
      <w:pPr>
        <w:pStyle w:val="Heading1"/>
      </w:pPr>
      <w:r w:rsidRPr="006322EB">
        <w:t>Objective</w:t>
      </w:r>
      <w:bookmarkEnd w:id="0"/>
    </w:p>
    <w:p w:rsidR="007E467E" w:rsidRPr="006322EB" w:rsidRDefault="00322202" w:rsidP="002C76EC">
      <w:pPr>
        <w:pStyle w:val="B0"/>
      </w:pPr>
      <w:r w:rsidRPr="006322EB">
        <w:t xml:space="preserve">The final result of this STF will be the delivery of a </w:t>
      </w:r>
      <w:r w:rsidR="00F27464" w:rsidRPr="006322EB">
        <w:t>final</w:t>
      </w:r>
      <w:r w:rsidRPr="006322EB">
        <w:t xml:space="preserve"> draft </w:t>
      </w:r>
      <w:r w:rsidR="002908C6" w:rsidRPr="006322EB">
        <w:t>ETSI</w:t>
      </w:r>
      <w:r w:rsidRPr="006322EB">
        <w:t xml:space="preserve"> standard on the Test Description Language in October 2013. To arrive there the work in the STF will be partitioned into the following activities:</w:t>
      </w:r>
    </w:p>
    <w:p w:rsidR="00322202" w:rsidRPr="006322EB" w:rsidRDefault="00322202" w:rsidP="00322202">
      <w:pPr>
        <w:pStyle w:val="B1"/>
      </w:pPr>
      <w:r w:rsidRPr="006322EB">
        <w:t>Detailed description of the TDL concepts and main features</w:t>
      </w:r>
      <w:r w:rsidR="00C33AC5" w:rsidRPr="006322EB">
        <w:t>; provision of a TDL meta-model that captures these concepts (start: Jan 2013; end: Sep 2013)</w:t>
      </w:r>
    </w:p>
    <w:p w:rsidR="00C33AC5" w:rsidRPr="006322EB" w:rsidRDefault="00C33AC5" w:rsidP="00322202">
      <w:pPr>
        <w:pStyle w:val="B1"/>
      </w:pPr>
      <w:r w:rsidRPr="006322EB">
        <w:t xml:space="preserve">Provision of a TDL concrete syntax suitable for end-users and addressing particularly ETSI’s needs (start: </w:t>
      </w:r>
      <w:r w:rsidR="00A6794E" w:rsidRPr="006322EB">
        <w:t xml:space="preserve">Apr </w:t>
      </w:r>
      <w:r w:rsidRPr="006322EB">
        <w:t xml:space="preserve"> 2013; end: Sep 2013)</w:t>
      </w:r>
    </w:p>
    <w:p w:rsidR="00C33AC5" w:rsidRPr="006322EB" w:rsidRDefault="00C33AC5" w:rsidP="00322202">
      <w:pPr>
        <w:pStyle w:val="B1"/>
      </w:pPr>
      <w:r w:rsidRPr="006322EB">
        <w:t xml:space="preserve">Definition of a formal operational semantics of TDL concepts (start: </w:t>
      </w:r>
      <w:r w:rsidR="00A6794E" w:rsidRPr="006322EB">
        <w:t>Ap</w:t>
      </w:r>
      <w:r w:rsidRPr="006322EB">
        <w:t>r 2013; end; Sep 2013)</w:t>
      </w:r>
    </w:p>
    <w:p w:rsidR="00C33AC5" w:rsidRPr="006322EB" w:rsidRDefault="00C33AC5" w:rsidP="00322202">
      <w:pPr>
        <w:pStyle w:val="B1"/>
      </w:pPr>
      <w:r w:rsidRPr="006322EB">
        <w:t>Consolidation of all results from TDL concepts, concrete syntax, and semantics and integration into the document describing the standard (start: Sep 2013; end: Oct 2013)</w:t>
      </w:r>
    </w:p>
    <w:p w:rsidR="00C33AC5" w:rsidRPr="006322EB" w:rsidRDefault="00C33AC5" w:rsidP="00322202">
      <w:pPr>
        <w:pStyle w:val="B1"/>
      </w:pPr>
      <w:r w:rsidRPr="006322EB">
        <w:t>Provision of a proof-of-concept implementation that demonstrates some important TDL concepts and shows the feasibility of the proposed solution (start: Jul 2013; end: Oct 2013)</w:t>
      </w:r>
    </w:p>
    <w:p w:rsidR="00322202" w:rsidRPr="006322EB" w:rsidRDefault="00322202" w:rsidP="00322202"/>
    <w:p w:rsidR="00322202" w:rsidRPr="006322EB" w:rsidRDefault="00322202" w:rsidP="00322202"/>
    <w:p w:rsidR="00A526B3" w:rsidRPr="006322EB" w:rsidRDefault="00D737A8" w:rsidP="00AB0CC7">
      <w:pPr>
        <w:pStyle w:val="Heading1"/>
      </w:pPr>
      <w:r w:rsidRPr="006322EB">
        <w:t>Relation with ETSI strategy</w:t>
      </w:r>
      <w:bookmarkEnd w:id="1"/>
      <w:bookmarkEnd w:id="2"/>
      <w:r w:rsidR="00E21FF3" w:rsidRPr="006322EB">
        <w:t xml:space="preserve"> and priorities</w:t>
      </w:r>
    </w:p>
    <w:p w:rsidR="00D03171" w:rsidRPr="006322EB" w:rsidRDefault="00D03171" w:rsidP="002C76EC">
      <w:pPr>
        <w:pStyle w:val="B0"/>
      </w:pPr>
      <w:r w:rsidRPr="006322EB">
        <w:t>The proposed STF relates to the following aspects of the ETSI long term strategy and priorities:</w:t>
      </w:r>
    </w:p>
    <w:p w:rsidR="00D03171" w:rsidRPr="006322EB" w:rsidRDefault="00D03171" w:rsidP="00D03171">
      <w:pPr>
        <w:pStyle w:val="GuidelineB1Italic"/>
        <w:rPr>
          <w:i w:val="0"/>
        </w:rPr>
      </w:pPr>
      <w:r w:rsidRPr="006322EB">
        <w:rPr>
          <w:i w:val="0"/>
        </w:rPr>
        <w:t>Keep ETSI effective, efficient and recognised as such</w:t>
      </w:r>
    </w:p>
    <w:p w:rsidR="00D03171" w:rsidRPr="006322EB" w:rsidRDefault="00D03171" w:rsidP="00D03171">
      <w:pPr>
        <w:pStyle w:val="GuidelineB1Italic"/>
        <w:rPr>
          <w:i w:val="0"/>
        </w:rPr>
      </w:pPr>
      <w:r w:rsidRPr="006322EB">
        <w:rPr>
          <w:i w:val="0"/>
        </w:rPr>
        <w:t>Create high quality standards for global use and with low time-to-market.</w:t>
      </w:r>
    </w:p>
    <w:p w:rsidR="00D03171" w:rsidRPr="006322EB" w:rsidRDefault="00D03171" w:rsidP="00D03171">
      <w:pPr>
        <w:pStyle w:val="GuidelineB1Italic"/>
        <w:rPr>
          <w:i w:val="0"/>
        </w:rPr>
      </w:pPr>
      <w:r w:rsidRPr="006322EB">
        <w:rPr>
          <w:i w:val="0"/>
        </w:rPr>
        <w:t>Stay in tune with changing nature of the global ICT industry (innovation)</w:t>
      </w:r>
    </w:p>
    <w:p w:rsidR="00D03171" w:rsidRPr="006322EB" w:rsidRDefault="00D03171" w:rsidP="00D03171">
      <w:pPr>
        <w:pStyle w:val="GuidelineB1Italic"/>
        <w:rPr>
          <w:i w:val="0"/>
        </w:rPr>
      </w:pPr>
      <w:r w:rsidRPr="006322EB">
        <w:rPr>
          <w:i w:val="0"/>
        </w:rPr>
        <w:t>Establish leadership in key areas impacting members' future activities</w:t>
      </w:r>
    </w:p>
    <w:p w:rsidR="00D03171" w:rsidRPr="006322EB" w:rsidRDefault="00D03171" w:rsidP="00D03171">
      <w:pPr>
        <w:pStyle w:val="GuidelineB1Italic"/>
        <w:rPr>
          <w:i w:val="0"/>
        </w:rPr>
      </w:pPr>
      <w:r w:rsidRPr="006322EB">
        <w:rPr>
          <w:i w:val="0"/>
        </w:rPr>
        <w:t>Engage in other industry sectors besides telecoms, (cross-sector ICT)</w:t>
      </w:r>
    </w:p>
    <w:p w:rsidR="00D03171" w:rsidRDefault="00D03171" w:rsidP="00D03171">
      <w:pPr>
        <w:pStyle w:val="Guideline"/>
        <w:rPr>
          <w:i w:val="0"/>
        </w:rPr>
      </w:pPr>
    </w:p>
    <w:p w:rsidR="002C76EC" w:rsidRPr="00385285" w:rsidRDefault="002C76EC" w:rsidP="002C76EC">
      <w:pPr>
        <w:pStyle w:val="B0"/>
      </w:pPr>
      <w:r w:rsidRPr="00385285">
        <w:t>Th</w:t>
      </w:r>
      <w:r>
        <w:t>is</w:t>
      </w:r>
      <w:r w:rsidRPr="00385285">
        <w:t xml:space="preserve"> </w:t>
      </w:r>
      <w:r>
        <w:t>proposal belongs to the following priority categories, set by the Board:</w:t>
      </w:r>
    </w:p>
    <w:p w:rsidR="00D03171" w:rsidRPr="006322EB" w:rsidRDefault="00D03171" w:rsidP="00D03171">
      <w:pPr>
        <w:pStyle w:val="GuidelineB1Italic"/>
        <w:rPr>
          <w:i w:val="0"/>
        </w:rPr>
      </w:pPr>
      <w:r w:rsidRPr="006322EB">
        <w:rPr>
          <w:i w:val="0"/>
        </w:rPr>
        <w:t>Innovation in mature domains</w:t>
      </w:r>
    </w:p>
    <w:p w:rsidR="00D03171" w:rsidRPr="006322EB" w:rsidRDefault="00D03171" w:rsidP="00D03171">
      <w:pPr>
        <w:pStyle w:val="GuidelineB1Italic"/>
        <w:rPr>
          <w:i w:val="0"/>
        </w:rPr>
      </w:pPr>
      <w:r w:rsidRPr="006322EB">
        <w:rPr>
          <w:i w:val="0"/>
        </w:rPr>
        <w:t>Emerging domains for ETSI</w:t>
      </w:r>
    </w:p>
    <w:p w:rsidR="00D03171" w:rsidRPr="006322EB" w:rsidRDefault="00D03171" w:rsidP="00D03171">
      <w:pPr>
        <w:pStyle w:val="GuidelineB1Italic"/>
        <w:rPr>
          <w:i w:val="0"/>
        </w:rPr>
      </w:pPr>
      <w:r w:rsidRPr="006322EB">
        <w:rPr>
          <w:i w:val="0"/>
        </w:rPr>
        <w:t>Standards enablers/facilitators (conformance testing, interoperability, methodology)</w:t>
      </w:r>
    </w:p>
    <w:p w:rsidR="00D03171" w:rsidRPr="006322EB" w:rsidRDefault="00D03171" w:rsidP="00D03171">
      <w:pPr>
        <w:pStyle w:val="GuidelineB1Italic"/>
        <w:rPr>
          <w:i w:val="0"/>
        </w:rPr>
      </w:pPr>
      <w:r w:rsidRPr="006322EB">
        <w:rPr>
          <w:i w:val="0"/>
        </w:rPr>
        <w:t>Horizontal activities (quality, security, etc.)</w:t>
      </w:r>
    </w:p>
    <w:p w:rsidR="00D03171" w:rsidRPr="006322EB" w:rsidRDefault="00D03171" w:rsidP="00A526B3"/>
    <w:p w:rsidR="007E467E" w:rsidRPr="006322EB" w:rsidRDefault="007E467E" w:rsidP="00A526B3"/>
    <w:p w:rsidR="00F32120" w:rsidRPr="006322EB" w:rsidRDefault="00F32120" w:rsidP="00AB0CC7">
      <w:pPr>
        <w:pStyle w:val="Heading1"/>
      </w:pPr>
      <w:bookmarkStart w:id="3" w:name="_Toc229392237"/>
      <w:r w:rsidRPr="006322EB">
        <w:t>Context of the proposal</w:t>
      </w:r>
    </w:p>
    <w:p w:rsidR="000D709D" w:rsidRPr="006322EB" w:rsidRDefault="00873FA3" w:rsidP="00F32120">
      <w:pPr>
        <w:pStyle w:val="Heading2"/>
      </w:pPr>
      <w:bookmarkStart w:id="4" w:name="_Ref323660142"/>
      <w:bookmarkEnd w:id="3"/>
      <w:r w:rsidRPr="006322EB">
        <w:t xml:space="preserve">ETSI </w:t>
      </w:r>
      <w:r w:rsidR="00133C8A" w:rsidRPr="006322EB">
        <w:t>Member</w:t>
      </w:r>
      <w:r w:rsidRPr="006322EB">
        <w:t>s</w:t>
      </w:r>
      <w:r w:rsidR="00133C8A" w:rsidRPr="006322EB">
        <w:t xml:space="preserve"> support</w:t>
      </w:r>
    </w:p>
    <w:p w:rsidR="00EB6238" w:rsidRPr="006322EB" w:rsidRDefault="00EB6238" w:rsidP="00EB6238">
      <w:pPr>
        <w:pStyle w:val="B0Bold"/>
      </w:pPr>
      <w:bookmarkStart w:id="5" w:name="_Toc229392238"/>
      <w:bookmarkEnd w:id="4"/>
      <w:r w:rsidRPr="006322EB">
        <w:t xml:space="preserve">Motivation by </w:t>
      </w:r>
      <w:proofErr w:type="spellStart"/>
      <w:r w:rsidRPr="006322EB">
        <w:t>Conformiq</w:t>
      </w:r>
      <w:proofErr w:type="spellEnd"/>
      <w:r w:rsidR="002C76EC" w:rsidRPr="002C76EC">
        <w:t xml:space="preserve"> </w:t>
      </w:r>
      <w:r w:rsidR="002C76EC">
        <w:t>(</w:t>
      </w:r>
      <w:r w:rsidR="002C76EC" w:rsidRPr="006322EB">
        <w:t>Dr. Stephan Schulz</w:t>
      </w:r>
      <w:r w:rsidR="002C76EC">
        <w:t>)</w:t>
      </w:r>
    </w:p>
    <w:p w:rsidR="00EB6238" w:rsidRPr="006322EB" w:rsidRDefault="00EB6238" w:rsidP="00EB6238">
      <w:r w:rsidRPr="006322EB">
        <w:t xml:space="preserve">Over the past 10 years industrial testing practice has moved from a programmatic approach to higher level approaches. This work is critical for ETSI to remain at the forefront of testing methods &amp; practice. In other standardization bodies the specification of </w:t>
      </w:r>
      <w:r w:rsidRPr="006322EB">
        <w:rPr>
          <w:i/>
        </w:rPr>
        <w:t>informal</w:t>
      </w:r>
      <w:r w:rsidRPr="006322EB">
        <w:t xml:space="preserve"> test description has been already practice for many years. With TDL ETSI will gain another strong differentiator – it is the natural add-on to TTCN-3. </w:t>
      </w:r>
      <w:proofErr w:type="spellStart"/>
      <w:r w:rsidRPr="006322EB">
        <w:t>Conformiq</w:t>
      </w:r>
      <w:proofErr w:type="spellEnd"/>
      <w:r w:rsidRPr="006322EB">
        <w:t xml:space="preserve"> strongly supports this STF.</w:t>
      </w:r>
    </w:p>
    <w:p w:rsidR="00EB6238" w:rsidRPr="006322EB" w:rsidRDefault="00EB6238" w:rsidP="00EB6238"/>
    <w:p w:rsidR="004E7A8F" w:rsidRPr="006322EB" w:rsidRDefault="004E7A8F" w:rsidP="004E7A8F">
      <w:pPr>
        <w:pStyle w:val="B0Bold"/>
      </w:pPr>
      <w:r w:rsidRPr="006322EB">
        <w:t>Motivation by Elvior</w:t>
      </w:r>
      <w:r w:rsidR="002C76EC" w:rsidRPr="002C76EC">
        <w:t xml:space="preserve"> </w:t>
      </w:r>
      <w:r w:rsidR="002C76EC">
        <w:t>(</w:t>
      </w:r>
      <w:r w:rsidR="002C76EC" w:rsidRPr="006322EB">
        <w:t>Dr. Andres Kull</w:t>
      </w:r>
      <w:r w:rsidR="002C76EC">
        <w:t>)</w:t>
      </w:r>
    </w:p>
    <w:p w:rsidR="004E7A8F" w:rsidRPr="006322EB" w:rsidRDefault="0083175E" w:rsidP="004E7A8F">
      <w:r w:rsidRPr="006322EB">
        <w:t>Elvior sees TDL as an easy-to-use formal notation for test descriptions that can fill the gap between model-based test design and manual scripting methods such as TTCN-3. TDL should be an easier alternative for those who see model-based and scripting based approaches as too much of a time investment. TDL should also be able to serve as an intermediary between generated test cases and their execution platform.</w:t>
      </w:r>
    </w:p>
    <w:p w:rsidR="004E7A8F" w:rsidRPr="006322EB" w:rsidRDefault="004E7A8F" w:rsidP="004E7A8F"/>
    <w:p w:rsidR="007E467E" w:rsidRPr="006322EB" w:rsidRDefault="00CD29C8" w:rsidP="00EB6238">
      <w:pPr>
        <w:pStyle w:val="B0Bold"/>
      </w:pPr>
      <w:r w:rsidRPr="006322EB">
        <w:lastRenderedPageBreak/>
        <w:t>Motivation by Ericsson</w:t>
      </w:r>
      <w:r w:rsidR="002C76EC">
        <w:t xml:space="preserve"> (</w:t>
      </w:r>
      <w:r w:rsidR="002C76EC" w:rsidRPr="006322EB">
        <w:t xml:space="preserve">Dr. György </w:t>
      </w:r>
      <w:proofErr w:type="spellStart"/>
      <w:r w:rsidR="002C76EC" w:rsidRPr="006322EB">
        <w:t>Rethy</w:t>
      </w:r>
      <w:proofErr w:type="spellEnd"/>
      <w:r w:rsidR="002C76EC">
        <w:t>)</w:t>
      </w:r>
    </w:p>
    <w:p w:rsidR="00CD29C8" w:rsidRPr="006322EB" w:rsidRDefault="00CD29C8" w:rsidP="00A526B3">
      <w:r w:rsidRPr="006322EB">
        <w:t>Over the past decade automated testing and in particular TTCN-3 has gained a major role in our software product development from functional testing to performance and robustness testing. However product development efficiency shall continuously be increased and time-to-market shall be shortened. This requires raising the abstraction level at which testers are working with their test cases and test execution results. Except increasing the efficiency of existing users of test automation technologies, the test description language (TDL) will also open the door to employ automated test systems for users not familiar with programming. Therefore, TDL is a key factor not only in technologies, like model</w:t>
      </w:r>
      <w:r w:rsidR="00A7382A" w:rsidRPr="006322EB">
        <w:t>-</w:t>
      </w:r>
      <w:r w:rsidRPr="006322EB">
        <w:t>based testing (MBT), but also in “traditional” test case-based software development ways of working, market adaptation of software products and customer support. Ericsson strongly supports the request for this STF.</w:t>
      </w:r>
    </w:p>
    <w:p w:rsidR="00CD29C8" w:rsidRPr="006322EB" w:rsidRDefault="00CD29C8" w:rsidP="00A526B3"/>
    <w:p w:rsidR="00CD29C8" w:rsidRPr="006322EB" w:rsidRDefault="00CD29C8" w:rsidP="00EB6238">
      <w:pPr>
        <w:pStyle w:val="B0Bold"/>
      </w:pPr>
      <w:r w:rsidRPr="006322EB">
        <w:t>Motivation by Siemens</w:t>
      </w:r>
      <w:r w:rsidR="002C76EC">
        <w:t xml:space="preserve"> (</w:t>
      </w:r>
      <w:r w:rsidR="002C76EC" w:rsidRPr="006322EB">
        <w:t>Dr. Andreas Ulrich</w:t>
      </w:r>
      <w:r w:rsidR="002C76EC">
        <w:t>)</w:t>
      </w:r>
    </w:p>
    <w:p w:rsidR="00A7382A" w:rsidRPr="006322EB" w:rsidRDefault="00A7382A" w:rsidP="00A526B3">
      <w:r w:rsidRPr="006322EB">
        <w:t>Siemens endorses TDL as the way forward to establish model-driven software engineering methods in testing. Current model-based testing solutions that rely on elaborated system models often do not live up to their promises since in practice these models are hard to deliver and available tools frequently suffer from the test explosion problem of generating too many tests</w:t>
      </w:r>
      <w:r w:rsidR="0065741D" w:rsidRPr="006322EB">
        <w:t xml:space="preserve"> with an unknown purpose and benefit. TDL offers a simpler approach by raising the abstraction of individual tests (or test fragments) without the costs of system modelling. Based on experiences made with TTCN-3 in the past, TDL </w:t>
      </w:r>
      <w:r w:rsidR="00C4222A" w:rsidRPr="006322EB">
        <w:t>is a big step forward on the</w:t>
      </w:r>
      <w:r w:rsidR="0065741D" w:rsidRPr="006322EB">
        <w:t xml:space="preserve"> evolution path of test specification languages</w:t>
      </w:r>
      <w:r w:rsidR="00C4222A" w:rsidRPr="006322EB">
        <w:t>.</w:t>
      </w:r>
      <w:r w:rsidR="0065741D" w:rsidRPr="006322EB">
        <w:t xml:space="preserve"> </w:t>
      </w:r>
      <w:r w:rsidR="006322EB" w:rsidRPr="006322EB">
        <w:t xml:space="preserve">It is expected to revive the tool market for a new generation of black-box testing tools based on standards. </w:t>
      </w:r>
      <w:r w:rsidR="00C4222A" w:rsidRPr="006322EB">
        <w:t xml:space="preserve">Therefore Siemens </w:t>
      </w:r>
      <w:r w:rsidR="006322EB" w:rsidRPr="006322EB">
        <w:t xml:space="preserve">embraces and </w:t>
      </w:r>
      <w:r w:rsidR="00C4222A" w:rsidRPr="006322EB">
        <w:t>strongly supports the request for this STF.</w:t>
      </w:r>
    </w:p>
    <w:p w:rsidR="00CD29C8" w:rsidRPr="006322EB" w:rsidRDefault="00CD29C8" w:rsidP="00A526B3"/>
    <w:p w:rsidR="006A62E2" w:rsidRDefault="006A62E2" w:rsidP="006A62E2">
      <w:pPr>
        <w:pStyle w:val="B0Bold"/>
      </w:pPr>
      <w:r>
        <w:t>Motivation by CTI</w:t>
      </w:r>
      <w:r w:rsidR="002C76EC">
        <w:t xml:space="preserve"> (Anthony Wiles) </w:t>
      </w:r>
    </w:p>
    <w:p w:rsidR="006A62E2" w:rsidRDefault="006A62E2" w:rsidP="006A62E2">
      <w:r>
        <w:t xml:space="preserve">CTI strongly supports this STF proposal. TDL offers a </w:t>
      </w:r>
      <w:r w:rsidRPr="000D491F">
        <w:rPr>
          <w:i/>
        </w:rPr>
        <w:t>standardized</w:t>
      </w:r>
      <w:r>
        <w:t xml:space="preserve"> approach for the systematic</w:t>
      </w:r>
      <w:r w:rsidRPr="00995535">
        <w:t xml:space="preserve"> design of tests before they are coded</w:t>
      </w:r>
      <w:r>
        <w:t xml:space="preserve"> in TTCN-3. With full tool support, this can lead to an increased efficiency and quality of test suites developed by ETSI STFs. Another benefit is that TDL can be used in applications where TTCN-3 may not be suitable or even ne</w:t>
      </w:r>
      <w:r w:rsidR="002C76EC">
        <w:t>eded, f</w:t>
      </w:r>
      <w:r>
        <w:t>or example, as a precise format for the specification of interoperability tests.</w:t>
      </w:r>
    </w:p>
    <w:p w:rsidR="004E7A8F" w:rsidRPr="006322EB" w:rsidRDefault="004E7A8F" w:rsidP="004E7A8F"/>
    <w:p w:rsidR="00CD29C8" w:rsidRPr="006322EB" w:rsidRDefault="00CD29C8" w:rsidP="00A526B3"/>
    <w:p w:rsidR="006A62E2" w:rsidRPr="00A526B3" w:rsidRDefault="006A62E2" w:rsidP="006A62E2">
      <w:pPr>
        <w:pStyle w:val="Heading2"/>
      </w:pPr>
      <w:r w:rsidRPr="00A526B3">
        <w:t>Market impact</w:t>
      </w:r>
    </w:p>
    <w:p w:rsidR="002C76EC" w:rsidRDefault="006A62E2" w:rsidP="006A62E2">
      <w:pPr>
        <w:pStyle w:val="Guideline"/>
        <w:rPr>
          <w:rFonts w:cs="Arial"/>
          <w:i w:val="0"/>
        </w:rPr>
      </w:pPr>
      <w:r w:rsidRPr="000D491F">
        <w:rPr>
          <w:rFonts w:cs="Arial"/>
          <w:i w:val="0"/>
        </w:rPr>
        <w:t>There is a strong tendency towards model-driven engineering</w:t>
      </w:r>
      <w:r>
        <w:rPr>
          <w:rFonts w:cs="Arial"/>
          <w:i w:val="0"/>
        </w:rPr>
        <w:t xml:space="preserve"> approaches</w:t>
      </w:r>
      <w:r w:rsidRPr="000D491F">
        <w:rPr>
          <w:rFonts w:cs="Arial"/>
          <w:i w:val="0"/>
        </w:rPr>
        <w:t xml:space="preserve"> that deploy individual, home-grown testing languages that may lead to a wide diversification in the testing market with many diverging and competing technologies. In this respect TDL will counteract this development by harmonizing the most important concepts for black-box testing of a wide area of applications. </w:t>
      </w:r>
    </w:p>
    <w:p w:rsidR="002C76EC" w:rsidRDefault="002C76EC" w:rsidP="006A62E2">
      <w:pPr>
        <w:pStyle w:val="Guideline"/>
        <w:rPr>
          <w:rFonts w:cs="Arial"/>
          <w:i w:val="0"/>
        </w:rPr>
      </w:pPr>
    </w:p>
    <w:p w:rsidR="006A62E2" w:rsidRPr="00574929" w:rsidRDefault="006A62E2" w:rsidP="002C76EC">
      <w:pPr>
        <w:pStyle w:val="B0"/>
      </w:pPr>
      <w:r w:rsidRPr="000D491F">
        <w:lastRenderedPageBreak/>
        <w:t>Subsequently:</w:t>
      </w:r>
    </w:p>
    <w:p w:rsidR="006A62E2" w:rsidRDefault="006A62E2" w:rsidP="002C76EC">
      <w:pPr>
        <w:pStyle w:val="B1spaced"/>
      </w:pPr>
      <w:r w:rsidRPr="000D491F">
        <w:t>TC MTS believes that it is highly desirable to develop an established ETSI standard on a common Test Description Language to set the pace for the design of tests for current and future systems. If this work would be delayed, there is the danger that ETSI can lose the grip on the testing market</w:t>
      </w:r>
      <w:r>
        <w:t>;</w:t>
      </w:r>
    </w:p>
    <w:p w:rsidR="006A62E2" w:rsidRDefault="006A62E2" w:rsidP="002C76EC">
      <w:pPr>
        <w:pStyle w:val="B1spaced"/>
      </w:pPr>
      <w:proofErr w:type="gramStart"/>
      <w:r>
        <w:t>t</w:t>
      </w:r>
      <w:r w:rsidRPr="000D491F">
        <w:t>he</w:t>
      </w:r>
      <w:proofErr w:type="gramEnd"/>
      <w:r w:rsidRPr="000D491F">
        <w:t xml:space="preserve"> penetration of ETSI’s TTCN-3 test language has reached a mature level and will not likely progress beyond the current scope of covered domains and applications, most of them are already in a mature state. TDL will offer a clear way forward from test case specifications in TTCN-3 to a model-driven design of test scenarios.</w:t>
      </w:r>
      <w:r>
        <w:t xml:space="preserve"> A</w:t>
      </w:r>
      <w:r w:rsidRPr="000D491F">
        <w:t xml:space="preserve"> TDL standard</w:t>
      </w:r>
      <w:r>
        <w:t xml:space="preserve"> can</w:t>
      </w:r>
      <w:r w:rsidRPr="000D491F">
        <w:t xml:space="preserve"> have a tremendous impact on the way tests are designed and described for a large set of application areas</w:t>
      </w:r>
      <w:r>
        <w:t>;</w:t>
      </w:r>
    </w:p>
    <w:p w:rsidR="00202BFF" w:rsidRDefault="00202BFF" w:rsidP="00202BFF">
      <w:pPr>
        <w:pStyle w:val="B1spaced"/>
      </w:pPr>
      <w:r w:rsidRPr="000D491F">
        <w:t xml:space="preserve">UML (Universal Modelling Language, in existence for over 15 years) has become the ubiquitous modelling notation replacing even well established technologies such as SDL or MSC. Although ubiquitous, the </w:t>
      </w:r>
      <w:r>
        <w:t xml:space="preserve">ambiguous semantics </w:t>
      </w:r>
      <w:r w:rsidRPr="000D491F">
        <w:t xml:space="preserve">of UML leads to very different tool-dependent solutions, even for the same kind of modelling diagrams. This observation extends also to the UML Testing Profile. TDL will </w:t>
      </w:r>
      <w:r>
        <w:t>improve on</w:t>
      </w:r>
      <w:r w:rsidRPr="000D491F">
        <w:t xml:space="preserve"> this </w:t>
      </w:r>
      <w:r>
        <w:t>deficiency</w:t>
      </w:r>
      <w:r w:rsidRPr="000D491F">
        <w:t xml:space="preserve"> by providing a precise notation for the very specific task of specifying test descriptions for test</w:t>
      </w:r>
      <w:r>
        <w:t>ing</w:t>
      </w:r>
      <w:r w:rsidRPr="000D491F">
        <w:t xml:space="preserve"> communicating and reactive systems.</w:t>
      </w:r>
    </w:p>
    <w:p w:rsidR="00202BFF" w:rsidRDefault="00202BFF" w:rsidP="00202BFF">
      <w:pPr>
        <w:pStyle w:val="B1spaced"/>
      </w:pPr>
      <w:r w:rsidRPr="00611F79">
        <w:t>3GPP has a large quantity of test specifications in prose (</w:t>
      </w:r>
      <w:r>
        <w:t>MS W</w:t>
      </w:r>
      <w:r w:rsidRPr="00611F79">
        <w:t xml:space="preserve">ord format) for 3G, 3G and 4G mobiles / UEs. The development of TDL will further provide </w:t>
      </w:r>
      <w:r>
        <w:t>a</w:t>
      </w:r>
      <w:r w:rsidRPr="00611F79">
        <w:t xml:space="preserve"> methodology f</w:t>
      </w:r>
      <w:r>
        <w:t>or</w:t>
      </w:r>
      <w:r w:rsidRPr="00611F79">
        <w:t xml:space="preserve"> </w:t>
      </w:r>
      <w:r>
        <w:t xml:space="preserve">describing these </w:t>
      </w:r>
      <w:r w:rsidRPr="00611F79">
        <w:t>test</w:t>
      </w:r>
      <w:r>
        <w:t xml:space="preserve">s </w:t>
      </w:r>
      <w:r w:rsidRPr="00611F79">
        <w:t xml:space="preserve">and help develop better test standards for 3GPP UE interoperability. </w:t>
      </w:r>
      <w:r>
        <w:t>F</w:t>
      </w:r>
      <w:r w:rsidRPr="00611F79">
        <w:t xml:space="preserve">uture TDL-based tools </w:t>
      </w:r>
      <w:r>
        <w:t>will</w:t>
      </w:r>
      <w:r w:rsidRPr="00611F79">
        <w:t xml:space="preserve"> </w:t>
      </w:r>
      <w:r>
        <w:t xml:space="preserve">be </w:t>
      </w:r>
      <w:r w:rsidRPr="00611F79">
        <w:t>also help</w:t>
      </w:r>
      <w:r>
        <w:t>ful</w:t>
      </w:r>
      <w:r w:rsidRPr="00611F79">
        <w:t xml:space="preserve"> </w:t>
      </w:r>
      <w:r>
        <w:t>to support</w:t>
      </w:r>
      <w:r w:rsidRPr="00611F79">
        <w:t xml:space="preserve"> the semi-</w:t>
      </w:r>
      <w:r>
        <w:t xml:space="preserve">automatic </w:t>
      </w:r>
      <w:r w:rsidRPr="00611F79">
        <w:t xml:space="preserve">generation of 3GPP </w:t>
      </w:r>
      <w:r>
        <w:t xml:space="preserve">executable </w:t>
      </w:r>
      <w:r w:rsidRPr="00611F79">
        <w:t>test</w:t>
      </w:r>
      <w:r>
        <w:t>s</w:t>
      </w:r>
      <w:r w:rsidRPr="00611F79">
        <w:t>.</w:t>
      </w:r>
    </w:p>
    <w:p w:rsidR="007A5FCA" w:rsidRPr="006322EB" w:rsidRDefault="007A5FCA" w:rsidP="002B53F4"/>
    <w:p w:rsidR="002B53F4" w:rsidRPr="006322EB" w:rsidRDefault="00897CF4" w:rsidP="002B53F4">
      <w:pPr>
        <w:pStyle w:val="Heading2"/>
      </w:pPr>
      <w:r w:rsidRPr="006322EB">
        <w:t>T</w:t>
      </w:r>
      <w:r w:rsidR="002B53F4" w:rsidRPr="006322EB">
        <w:t>asks that cannot be done within the TB and for which the STF support is necessary</w:t>
      </w:r>
    </w:p>
    <w:p w:rsidR="00127B98" w:rsidRPr="006322EB" w:rsidRDefault="00127B98" w:rsidP="00127B98">
      <w:pPr>
        <w:pStyle w:val="Guideline"/>
        <w:rPr>
          <w:i w:val="0"/>
        </w:rPr>
      </w:pPr>
      <w:r w:rsidRPr="006322EB">
        <w:rPr>
          <w:i w:val="0"/>
        </w:rPr>
        <w:t>The work on TDL is currently done completely by voluntary efforts of some key actors. To boost the efficiency of this standardisation effort it is advisable to organize the work within an STF. In addition, an STF will make it easier to allow academic partners that lack sufficient financial support to bring in their expertise.</w:t>
      </w:r>
    </w:p>
    <w:p w:rsidR="00936BED" w:rsidRPr="006322EB" w:rsidRDefault="00936BED" w:rsidP="00127B98">
      <w:pPr>
        <w:pStyle w:val="Guideline"/>
        <w:rPr>
          <w:i w:val="0"/>
        </w:rPr>
      </w:pPr>
    </w:p>
    <w:p w:rsidR="00937637" w:rsidRPr="006322EB" w:rsidRDefault="00937637" w:rsidP="00127B98">
      <w:pPr>
        <w:pStyle w:val="Guideline"/>
        <w:rPr>
          <w:i w:val="0"/>
        </w:rPr>
      </w:pPr>
      <w:r w:rsidRPr="006322EB">
        <w:rPr>
          <w:i w:val="0"/>
        </w:rPr>
        <w:t>The work on standardizing TDL encompasses also the creation of a concrete syntax for end users of TDL. Clearly, this work on defining the syntax for a new language can be done effectively only while working at ETSI since the close link with other experts working at ETSI will be a boon for this task.</w:t>
      </w:r>
    </w:p>
    <w:p w:rsidR="00936BED" w:rsidRPr="006322EB" w:rsidRDefault="00936BED" w:rsidP="00936BED"/>
    <w:p w:rsidR="004810FA" w:rsidRDefault="004810FA" w:rsidP="004810FA">
      <w:pPr>
        <w:pStyle w:val="Guideline"/>
        <w:rPr>
          <w:i w:val="0"/>
        </w:rPr>
      </w:pPr>
      <w:r>
        <w:rPr>
          <w:i w:val="0"/>
        </w:rPr>
        <w:t xml:space="preserve">Finally, because the development of a consistent, practical and implementable language is best done by a small group of experts TC MTS believes </w:t>
      </w:r>
      <w:r w:rsidRPr="000D491F">
        <w:rPr>
          <w:i w:val="0"/>
        </w:rPr>
        <w:t>that this STF would serve as the catalyst to solve the hard task of developing a first version of a completely new standardized language from scratch within a short time period</w:t>
      </w:r>
      <w:r>
        <w:rPr>
          <w:i w:val="0"/>
        </w:rPr>
        <w:t>.</w:t>
      </w:r>
    </w:p>
    <w:p w:rsidR="003158A1" w:rsidRPr="006322EB" w:rsidRDefault="003158A1" w:rsidP="002B53F4"/>
    <w:p w:rsidR="00897CF4" w:rsidRPr="006322EB" w:rsidRDefault="00897CF4" w:rsidP="00F32120">
      <w:pPr>
        <w:pStyle w:val="Heading2"/>
      </w:pPr>
      <w:r w:rsidRPr="006322EB">
        <w:t xml:space="preserve">Related </w:t>
      </w:r>
      <w:r w:rsidR="002A5ADD" w:rsidRPr="006322EB">
        <w:t xml:space="preserve">voluntary </w:t>
      </w:r>
      <w:r w:rsidRPr="006322EB">
        <w:t>activities in the TB</w:t>
      </w:r>
    </w:p>
    <w:p w:rsidR="006B17B3" w:rsidRPr="006322EB" w:rsidRDefault="003158A1" w:rsidP="00897CF4">
      <w:pPr>
        <w:pStyle w:val="Guideline"/>
        <w:rPr>
          <w:i w:val="0"/>
        </w:rPr>
      </w:pPr>
      <w:r w:rsidRPr="006322EB">
        <w:rPr>
          <w:i w:val="0"/>
        </w:rPr>
        <w:t xml:space="preserve">Besides review activities that are expected </w:t>
      </w:r>
      <w:r w:rsidR="006B17B3" w:rsidRPr="006322EB">
        <w:rPr>
          <w:i w:val="0"/>
        </w:rPr>
        <w:t>from partners interested in TDL additional efforts will be spent to validate the TDL concepts in terms of a reference implementation.</w:t>
      </w:r>
    </w:p>
    <w:p w:rsidR="006B17B3" w:rsidRPr="006322EB" w:rsidRDefault="006B17B3" w:rsidP="00897CF4">
      <w:pPr>
        <w:pStyle w:val="Guideline"/>
        <w:rPr>
          <w:i w:val="0"/>
        </w:rPr>
      </w:pPr>
    </w:p>
    <w:p w:rsidR="007A5FCA" w:rsidRPr="006322EB" w:rsidRDefault="006B17B3" w:rsidP="00897CF4">
      <w:pPr>
        <w:pStyle w:val="Guideline"/>
        <w:rPr>
          <w:i w:val="0"/>
        </w:rPr>
      </w:pPr>
      <w:r w:rsidRPr="006322EB">
        <w:rPr>
          <w:i w:val="0"/>
        </w:rPr>
        <w:t>Other funded activities within the proposed STF will contain 20% of voluntary efforts to meet ETSI’s STF funding guidelines.</w:t>
      </w:r>
    </w:p>
    <w:p w:rsidR="003158A1" w:rsidRPr="006322EB" w:rsidRDefault="003158A1" w:rsidP="00897CF4">
      <w:pPr>
        <w:pStyle w:val="Guideline"/>
        <w:rPr>
          <w:i w:val="0"/>
        </w:rPr>
      </w:pPr>
    </w:p>
    <w:p w:rsidR="007A5FCA" w:rsidRPr="006322EB" w:rsidRDefault="007A5FCA" w:rsidP="00897CF4">
      <w:pPr>
        <w:pStyle w:val="Guideline"/>
        <w:rPr>
          <w:i w:val="0"/>
        </w:rPr>
      </w:pPr>
    </w:p>
    <w:p w:rsidR="00F32120" w:rsidRPr="006322EB" w:rsidRDefault="00F32120" w:rsidP="00F32120">
      <w:pPr>
        <w:pStyle w:val="Heading2"/>
      </w:pPr>
      <w:r w:rsidRPr="006322EB">
        <w:t>Outcome from previous funded activities in the same domain</w:t>
      </w:r>
    </w:p>
    <w:p w:rsidR="00385E07" w:rsidRPr="006322EB" w:rsidRDefault="00385E07" w:rsidP="00897CF4">
      <w:pPr>
        <w:pStyle w:val="Guideline"/>
        <w:rPr>
          <w:i w:val="0"/>
        </w:rPr>
      </w:pPr>
      <w:r w:rsidRPr="006322EB">
        <w:rPr>
          <w:i w:val="0"/>
        </w:rPr>
        <w:t>No funded activities on TDL have been performed yet.</w:t>
      </w:r>
    </w:p>
    <w:p w:rsidR="00385E07" w:rsidRPr="006322EB" w:rsidRDefault="00385E07" w:rsidP="00897CF4">
      <w:pPr>
        <w:pStyle w:val="Guideline"/>
        <w:rPr>
          <w:i w:val="0"/>
        </w:rPr>
      </w:pPr>
    </w:p>
    <w:p w:rsidR="00385E07" w:rsidRPr="006322EB" w:rsidRDefault="00385E07" w:rsidP="00897CF4">
      <w:pPr>
        <w:pStyle w:val="Guideline"/>
        <w:rPr>
          <w:i w:val="0"/>
        </w:rPr>
      </w:pPr>
    </w:p>
    <w:p w:rsidR="00A83FE4" w:rsidRPr="006322EB" w:rsidRDefault="00A83FE4" w:rsidP="00F32120">
      <w:pPr>
        <w:pStyle w:val="Heading2"/>
      </w:pPr>
      <w:r w:rsidRPr="006322EB">
        <w:t>Consequences if not agreed</w:t>
      </w:r>
    </w:p>
    <w:p w:rsidR="00A83FE4" w:rsidRPr="006322EB" w:rsidRDefault="006B17B3" w:rsidP="00A83FE4">
      <w:r w:rsidRPr="006322EB">
        <w:t xml:space="preserve">The intention to set up this STF is mainly to speed up the progress in the standardization efforts on TDL. If no STF would be set up, a standard on TDL could be delayed </w:t>
      </w:r>
      <w:r w:rsidR="00641203" w:rsidRPr="006322EB">
        <w:t>further or not even published at all since</w:t>
      </w:r>
      <w:r w:rsidRPr="006322EB">
        <w:t xml:space="preserve"> other initiatives pushed forward by other standardization bodies</w:t>
      </w:r>
      <w:r w:rsidR="00506F5C" w:rsidRPr="006322EB">
        <w:t xml:space="preserve">, notably OMG, could pop up and gain popularity that might not covering ETSI’s </w:t>
      </w:r>
      <w:r w:rsidR="006322EB" w:rsidRPr="006322EB">
        <w:t xml:space="preserve">interests and </w:t>
      </w:r>
      <w:r w:rsidR="00506F5C" w:rsidRPr="006322EB">
        <w:t xml:space="preserve">needs for describing conformance </w:t>
      </w:r>
      <w:r w:rsidR="00506F5C" w:rsidRPr="006322EB">
        <w:lastRenderedPageBreak/>
        <w:t>and interoperability test suites. Moreover, ETSI would lose influence in the area of model-driven engineering.</w:t>
      </w:r>
    </w:p>
    <w:p w:rsidR="002040AB" w:rsidRDefault="002040AB" w:rsidP="00A83FE4"/>
    <w:p w:rsidR="00B35553" w:rsidRDefault="00B35553" w:rsidP="00A83FE4"/>
    <w:p w:rsidR="00B35553" w:rsidRPr="006322EB" w:rsidRDefault="00B35553" w:rsidP="00A83FE4"/>
    <w:p w:rsidR="007E467E" w:rsidRPr="006322EB" w:rsidRDefault="007E467E" w:rsidP="00A83FE4"/>
    <w:p w:rsidR="00A83FE4" w:rsidRPr="006322EB" w:rsidRDefault="00A83FE4" w:rsidP="00A83FE4">
      <w:pPr>
        <w:pStyle w:val="Part"/>
      </w:pPr>
      <w:r w:rsidRPr="006322EB">
        <w:t>Part II - Execution of the work</w:t>
      </w:r>
    </w:p>
    <w:p w:rsidR="00133C8A" w:rsidRPr="006322EB" w:rsidRDefault="00133C8A" w:rsidP="00AB0CC7">
      <w:pPr>
        <w:pStyle w:val="Heading1"/>
      </w:pPr>
      <w:r w:rsidRPr="006322EB">
        <w:t xml:space="preserve">Technical Bodies </w:t>
      </w:r>
      <w:r w:rsidR="00AB2879" w:rsidRPr="006322EB">
        <w:t>and other Organizations</w:t>
      </w:r>
      <w:r w:rsidR="00873FA3" w:rsidRPr="006322EB">
        <w:t xml:space="preserve"> involved</w:t>
      </w:r>
    </w:p>
    <w:p w:rsidR="00133C8A" w:rsidRPr="006322EB" w:rsidRDefault="00133C8A" w:rsidP="00F32120">
      <w:pPr>
        <w:pStyle w:val="Heading2"/>
      </w:pPr>
      <w:r w:rsidRPr="006322EB">
        <w:t>Leading TB</w:t>
      </w:r>
    </w:p>
    <w:p w:rsidR="003C533D" w:rsidRPr="006322EB" w:rsidRDefault="003C533D" w:rsidP="00133C8A">
      <w:bookmarkStart w:id="6" w:name="_Toc64817083"/>
      <w:r w:rsidRPr="006322EB">
        <w:t xml:space="preserve">The work in this STF is </w:t>
      </w:r>
      <w:r w:rsidR="006B17B3" w:rsidRPr="006322EB">
        <w:t xml:space="preserve">embedded within the MTS </w:t>
      </w:r>
      <w:r w:rsidR="0083175E" w:rsidRPr="006322EB">
        <w:t>W</w:t>
      </w:r>
      <w:r w:rsidR="006B17B3" w:rsidRPr="006322EB">
        <w:t xml:space="preserve">ork </w:t>
      </w:r>
      <w:r w:rsidR="0083175E" w:rsidRPr="006322EB">
        <w:t>I</w:t>
      </w:r>
      <w:r w:rsidR="006B17B3" w:rsidRPr="006322EB">
        <w:t>tem “Test Description Language”</w:t>
      </w:r>
      <w:r w:rsidR="00B4638C" w:rsidRPr="006322EB">
        <w:t xml:space="preserve"> </w:t>
      </w:r>
      <w:r w:rsidR="0083175E" w:rsidRPr="006322EB">
        <w:t>that is</w:t>
      </w:r>
      <w:r w:rsidR="00B4638C" w:rsidRPr="006322EB">
        <w:t xml:space="preserve"> managed by Dr. Andreas Ulrich, Siemens AG</w:t>
      </w:r>
      <w:r w:rsidR="00641203" w:rsidRPr="006322EB">
        <w:t xml:space="preserve"> (</w:t>
      </w:r>
      <w:proofErr w:type="spellStart"/>
      <w:r w:rsidR="00641203" w:rsidRPr="006322EB">
        <w:t>rapporteur</w:t>
      </w:r>
      <w:proofErr w:type="spellEnd"/>
      <w:r w:rsidR="00641203" w:rsidRPr="006322EB">
        <w:t>)</w:t>
      </w:r>
      <w:r w:rsidR="00B4638C" w:rsidRPr="006322EB">
        <w:t>.</w:t>
      </w:r>
    </w:p>
    <w:p w:rsidR="00B4638C" w:rsidRPr="006322EB" w:rsidRDefault="00B4638C" w:rsidP="00133C8A"/>
    <w:p w:rsidR="003C533D" w:rsidRPr="006322EB" w:rsidRDefault="003C533D" w:rsidP="00133C8A"/>
    <w:p w:rsidR="00AB2879" w:rsidRPr="006322EB" w:rsidRDefault="00AB2879" w:rsidP="00F32120">
      <w:pPr>
        <w:pStyle w:val="Heading2"/>
      </w:pPr>
      <w:r w:rsidRPr="006322EB">
        <w:t>Other interested ETSI Technical Bodies</w:t>
      </w:r>
    </w:p>
    <w:p w:rsidR="00B4638C" w:rsidRPr="006322EB" w:rsidRDefault="00A90943" w:rsidP="00133C8A">
      <w:r>
        <w:t>Similar to the maintenance of the TTCN-3 standards, t</w:t>
      </w:r>
      <w:r w:rsidR="00B4638C" w:rsidRPr="006322EB">
        <w:t>he following ETSI TBs are expected to contribute to the STF by providing feedback on the developed TDL methodology:, LTE, ITS, ERM.</w:t>
      </w:r>
    </w:p>
    <w:p w:rsidR="00B4638C" w:rsidRPr="006322EB" w:rsidRDefault="00B4638C" w:rsidP="00133C8A"/>
    <w:p w:rsidR="00641203" w:rsidRPr="006322EB" w:rsidRDefault="00641203" w:rsidP="00133C8A"/>
    <w:p w:rsidR="00AB2879" w:rsidRPr="006322EB" w:rsidRDefault="00AB2879" w:rsidP="00F32120">
      <w:pPr>
        <w:pStyle w:val="Heading2"/>
      </w:pPr>
      <w:r w:rsidRPr="006322EB">
        <w:t xml:space="preserve">Other interested </w:t>
      </w:r>
      <w:r w:rsidR="00873FA3" w:rsidRPr="006322EB">
        <w:t>O</w:t>
      </w:r>
      <w:r w:rsidRPr="006322EB">
        <w:t>rganizations outside ETSI</w:t>
      </w:r>
    </w:p>
    <w:p w:rsidR="00B4638C" w:rsidRPr="006322EB" w:rsidRDefault="00B4638C" w:rsidP="00AB2879">
      <w:r w:rsidRPr="006322EB">
        <w:t xml:space="preserve">The following organizations are expected to be interested in the outcome from this STF: </w:t>
      </w:r>
      <w:proofErr w:type="spellStart"/>
      <w:r w:rsidRPr="006322EB">
        <w:t>WiMAX</w:t>
      </w:r>
      <w:proofErr w:type="spellEnd"/>
      <w:r w:rsidRPr="006322EB">
        <w:t xml:space="preserve"> Forum, TETRA Association</w:t>
      </w:r>
      <w:r w:rsidR="000A35E8">
        <w:t>, OMA</w:t>
      </w:r>
      <w:r w:rsidRPr="006322EB">
        <w:t xml:space="preserve"> and others.</w:t>
      </w:r>
    </w:p>
    <w:p w:rsidR="00D73A1B" w:rsidRPr="006322EB" w:rsidRDefault="00D73A1B" w:rsidP="00AB2879"/>
    <w:p w:rsidR="00D73A1B" w:rsidRPr="006322EB" w:rsidRDefault="00D73A1B" w:rsidP="00944637">
      <w:pPr>
        <w:pStyle w:val="B0"/>
      </w:pPr>
      <w:r w:rsidRPr="006322EB">
        <w:t xml:space="preserve">Moreover, the automotive industry took already initiative in providing solutions for their specific needs </w:t>
      </w:r>
      <w:r w:rsidR="00C0179E" w:rsidRPr="006322EB">
        <w:t>of</w:t>
      </w:r>
      <w:r w:rsidRPr="006322EB">
        <w:t xml:space="preserve"> hardware-in-the-loop testing. These initiatives should be also interested in the results of the proposed </w:t>
      </w:r>
      <w:r w:rsidR="00C0179E" w:rsidRPr="006322EB">
        <w:t xml:space="preserve">ETSI </w:t>
      </w:r>
      <w:r w:rsidRPr="006322EB">
        <w:t xml:space="preserve">STF. </w:t>
      </w:r>
      <w:r w:rsidR="00947BCB" w:rsidRPr="006322EB">
        <w:t>At least t</w:t>
      </w:r>
      <w:r w:rsidRPr="006322EB">
        <w:t xml:space="preserve">he following initiatives are known: </w:t>
      </w:r>
    </w:p>
    <w:p w:rsidR="00D73A1B" w:rsidRPr="006322EB" w:rsidRDefault="00D73A1B" w:rsidP="00D73A1B">
      <w:pPr>
        <w:pStyle w:val="B1"/>
      </w:pPr>
      <w:r w:rsidRPr="006322EB">
        <w:t>IEEE SCC20 ATML 1671.x; it defines a framework for automotive test</w:t>
      </w:r>
      <w:r w:rsidR="00947BCB" w:rsidRPr="006322EB">
        <w:t xml:space="preserve"> data and test scripts based on XML; </w:t>
      </w:r>
      <w:hyperlink r:id="rId8" w:history="1">
        <w:r w:rsidR="00947BCB" w:rsidRPr="006322EB">
          <w:rPr>
            <w:rStyle w:val="Hyperlink"/>
          </w:rPr>
          <w:t>http://grouper.ieee.org/groups/scc20/tii/</w:t>
        </w:r>
      </w:hyperlink>
      <w:r w:rsidR="00947BCB" w:rsidRPr="006322EB">
        <w:t>.</w:t>
      </w:r>
    </w:p>
    <w:p w:rsidR="00D73A1B" w:rsidRPr="006322EB" w:rsidRDefault="00D73A1B" w:rsidP="00D73A1B">
      <w:pPr>
        <w:pStyle w:val="B1"/>
      </w:pPr>
      <w:r w:rsidRPr="006322EB">
        <w:t>ASAM AE ATX</w:t>
      </w:r>
      <w:r w:rsidR="00947BCB" w:rsidRPr="006322EB">
        <w:t>;</w:t>
      </w:r>
      <w:r w:rsidRPr="006322EB">
        <w:t xml:space="preserve"> </w:t>
      </w:r>
      <w:r w:rsidR="00947BCB" w:rsidRPr="006322EB">
        <w:t xml:space="preserve">Automotive Test Exchange Format; ATX is a standardized test exchange format, which allows reusing existing test cases in different test automation software systems; </w:t>
      </w:r>
      <w:hyperlink r:id="rId9" w:history="1">
        <w:r w:rsidRPr="006322EB">
          <w:rPr>
            <w:rStyle w:val="Hyperlink"/>
          </w:rPr>
          <w:t>http://www.asam.net/</w:t>
        </w:r>
      </w:hyperlink>
      <w:r w:rsidR="00947BCB" w:rsidRPr="006322EB">
        <w:t>.</w:t>
      </w:r>
    </w:p>
    <w:p w:rsidR="00947BCB" w:rsidRPr="006322EB" w:rsidRDefault="00947BCB" w:rsidP="00D73A1B">
      <w:pPr>
        <w:pStyle w:val="B1"/>
      </w:pPr>
      <w:r w:rsidRPr="006322EB">
        <w:t>ISO/TC22/SC3/WG1</w:t>
      </w:r>
      <w:r w:rsidR="00C0179E" w:rsidRPr="006322EB">
        <w:t>: ISO13209-x</w:t>
      </w:r>
      <w:proofErr w:type="gramStart"/>
      <w:r w:rsidR="00C0179E" w:rsidRPr="006322EB">
        <w:t>:2012</w:t>
      </w:r>
      <w:proofErr w:type="gramEnd"/>
      <w:r w:rsidR="00C0179E" w:rsidRPr="006322EB">
        <w:t xml:space="preserve">; Open Test sequence </w:t>
      </w:r>
      <w:proofErr w:type="spellStart"/>
      <w:r w:rsidR="00C0179E" w:rsidRPr="006322EB">
        <w:t>eXchange</w:t>
      </w:r>
      <w:proofErr w:type="spellEnd"/>
      <w:r w:rsidR="00C0179E" w:rsidRPr="006322EB">
        <w:t xml:space="preserve"> (OTX); definition of a standardized exchange format for diagnostic sequences.</w:t>
      </w:r>
    </w:p>
    <w:p w:rsidR="00B4638C" w:rsidRPr="006322EB" w:rsidRDefault="00B4638C" w:rsidP="00AB2879"/>
    <w:p w:rsidR="00C0179E" w:rsidRPr="006322EB" w:rsidRDefault="00C0179E" w:rsidP="00AB2879">
      <w:r w:rsidRPr="006322EB">
        <w:t xml:space="preserve">The ITEA research project “Combined Methods for Analysis and Testing (MBAT)” brings together academia and industry from the transportation domain (automotive/avionics/rail) to work on a so-called reference technology platform intended to </w:t>
      </w:r>
      <w:r w:rsidR="00395B5F" w:rsidRPr="006322EB">
        <w:t xml:space="preserve">support, among other things, testing activities across the different </w:t>
      </w:r>
      <w:r w:rsidR="006322EB" w:rsidRPr="006322EB">
        <w:t xml:space="preserve">transportation </w:t>
      </w:r>
      <w:r w:rsidR="00395B5F" w:rsidRPr="006322EB">
        <w:t xml:space="preserve">domains. Therefore the provision of platform-independent test descriptions is one of the key issues; </w:t>
      </w:r>
      <w:hyperlink r:id="rId10" w:history="1">
        <w:r w:rsidR="00395B5F" w:rsidRPr="006322EB">
          <w:rPr>
            <w:rStyle w:val="Hyperlink"/>
          </w:rPr>
          <w:t>http://www.mbat-artemis.eu/home/</w:t>
        </w:r>
      </w:hyperlink>
      <w:r w:rsidR="00395B5F" w:rsidRPr="006322EB">
        <w:t>.</w:t>
      </w:r>
    </w:p>
    <w:p w:rsidR="00C0179E" w:rsidRPr="006322EB" w:rsidRDefault="00C0179E" w:rsidP="00AB2879"/>
    <w:p w:rsidR="00B4638C" w:rsidRPr="006322EB" w:rsidRDefault="00B4638C" w:rsidP="00AB2879"/>
    <w:bookmarkEnd w:id="6"/>
    <w:p w:rsidR="00712FB8" w:rsidRPr="006322EB" w:rsidRDefault="00712FB8" w:rsidP="00AB0CC7">
      <w:pPr>
        <w:pStyle w:val="Heading1"/>
      </w:pPr>
      <w:r w:rsidRPr="006322EB">
        <w:t>Working method/approach</w:t>
      </w:r>
    </w:p>
    <w:p w:rsidR="00712FB8" w:rsidRPr="006322EB" w:rsidRDefault="00712FB8" w:rsidP="00F32120">
      <w:pPr>
        <w:pStyle w:val="Heading2"/>
      </w:pPr>
      <w:r w:rsidRPr="006322EB">
        <w:t>Organization of the work</w:t>
      </w:r>
      <w:r w:rsidR="00E64D4E" w:rsidRPr="006322EB">
        <w:t xml:space="preserve"> </w:t>
      </w:r>
    </w:p>
    <w:p w:rsidR="007C150F" w:rsidRDefault="0025163F" w:rsidP="00873FA3">
      <w:r>
        <w:t>The goal of this STF is to bring up an ETSI standard on the “Test Description Language (TDL)”. Therefore the work is organized around the usual stages of developing standards, i.e. delivery of an early draft, stable draft, and final draft that are defined as milestones</w:t>
      </w:r>
      <w:r w:rsidR="007C150F">
        <w:t xml:space="preserve"> M1–M4 below</w:t>
      </w:r>
      <w:r>
        <w:t>.</w:t>
      </w:r>
      <w:r w:rsidR="0093077B">
        <w:t xml:space="preserve"> The STF consists of just one single phase of development.</w:t>
      </w:r>
    </w:p>
    <w:p w:rsidR="00E25FFC" w:rsidRDefault="00E25FFC" w:rsidP="00E25FFC"/>
    <w:p w:rsidR="00E25FFC" w:rsidRDefault="00E25FFC" w:rsidP="00E25FFC">
      <w:r>
        <w:t>Once draft versions of the TDL standard become available, they will be send out to ETSI MTS and other TBs as well as parties that are outside of ETSI for review and feedback. Since there are four milestones foreseen to solicit feedback, there is plenty of room for delivering an accepted TDL standard that fits the needs of different organizations and users.</w:t>
      </w:r>
    </w:p>
    <w:p w:rsidR="007C150F" w:rsidRDefault="007C150F" w:rsidP="00873FA3"/>
    <w:p w:rsidR="0025163F" w:rsidRDefault="0025163F" w:rsidP="00873FA3">
      <w:r>
        <w:lastRenderedPageBreak/>
        <w:t>The TDL standard will encompass the following parts: TDL concepts, TDL concrete syntax, TDL semantics, which are reflected in the technical Tasks 1–3. In addition</w:t>
      </w:r>
      <w:r w:rsidR="007C150F">
        <w:t xml:space="preserve">, an extra Task 4 is foreseen that will implement, at least partially, the defined TDL concepts and syntax as a proof of concept. This way, Task 4 acts as a quality assurance measure for this STF. The final Task 5 will consolidate all results from the previous </w:t>
      </w:r>
      <w:r w:rsidR="0093077B">
        <w:t>tasks</w:t>
      </w:r>
      <w:r w:rsidR="007C150F">
        <w:t xml:space="preserve"> and deliver the final draft </w:t>
      </w:r>
      <w:r w:rsidR="00E25FFC">
        <w:t xml:space="preserve">on TDL </w:t>
      </w:r>
      <w:r w:rsidR="007C150F">
        <w:t>for approval.</w:t>
      </w:r>
    </w:p>
    <w:p w:rsidR="00E25FFC" w:rsidRDefault="00E25FFC" w:rsidP="00873FA3"/>
    <w:p w:rsidR="00E25FFC" w:rsidRDefault="00E25FFC" w:rsidP="00873FA3">
      <w:r>
        <w:t xml:space="preserve">Effort estimation for the various tasks of the STF is in general difficult for a new standard. Therefore estimations are </w:t>
      </w:r>
      <w:r w:rsidR="0093077B">
        <w:t>done in alignment with experiences from similar STFs and expectations from different stakeholders.</w:t>
      </w:r>
    </w:p>
    <w:p w:rsidR="0093077B" w:rsidRDefault="0093077B" w:rsidP="00873FA3"/>
    <w:p w:rsidR="0093077B" w:rsidRDefault="0093077B" w:rsidP="00873FA3">
      <w:r>
        <w:t>The proposed STF considers no dedicated steering group. Instead it is controlled directly by MTS, to which it also reports back.</w:t>
      </w:r>
    </w:p>
    <w:p w:rsidR="00951047" w:rsidRPr="006322EB" w:rsidRDefault="00951047" w:rsidP="00873FA3"/>
    <w:p w:rsidR="007E467E" w:rsidRPr="006322EB" w:rsidRDefault="007E467E" w:rsidP="00873FA3"/>
    <w:bookmarkEnd w:id="5"/>
    <w:p w:rsidR="00213878" w:rsidRPr="006322EB" w:rsidRDefault="00213878" w:rsidP="00F32120">
      <w:pPr>
        <w:pStyle w:val="Heading2"/>
      </w:pPr>
      <w:r w:rsidRPr="006322EB">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27"/>
        <w:gridCol w:w="1324"/>
        <w:gridCol w:w="1515"/>
      </w:tblGrid>
      <w:tr w:rsidR="00AB0CC7" w:rsidRPr="006322EB" w:rsidTr="007E467E">
        <w:tc>
          <w:tcPr>
            <w:tcW w:w="2518" w:type="dxa"/>
            <w:shd w:val="clear" w:color="auto" w:fill="B8CCE4"/>
            <w:vAlign w:val="center"/>
          </w:tcPr>
          <w:p w:rsidR="00AB0CC7" w:rsidRPr="006322EB" w:rsidRDefault="007F6E95" w:rsidP="00944637">
            <w:pPr>
              <w:keepNext/>
              <w:keepLines/>
              <w:rPr>
                <w:b/>
              </w:rPr>
            </w:pPr>
            <w:r w:rsidRPr="006322EB">
              <w:rPr>
                <w:b/>
              </w:rPr>
              <w:t>Document</w:t>
            </w:r>
          </w:p>
        </w:tc>
        <w:tc>
          <w:tcPr>
            <w:tcW w:w="3827" w:type="dxa"/>
            <w:shd w:val="clear" w:color="auto" w:fill="B8CCE4"/>
            <w:vAlign w:val="center"/>
          </w:tcPr>
          <w:p w:rsidR="00AB0CC7" w:rsidRPr="006322EB" w:rsidRDefault="007F6E95" w:rsidP="00944637">
            <w:pPr>
              <w:keepNext/>
              <w:keepLines/>
              <w:rPr>
                <w:b/>
              </w:rPr>
            </w:pPr>
            <w:r w:rsidRPr="006322EB">
              <w:rPr>
                <w:b/>
              </w:rPr>
              <w:t>Title</w:t>
            </w:r>
          </w:p>
        </w:tc>
        <w:tc>
          <w:tcPr>
            <w:tcW w:w="1324" w:type="dxa"/>
            <w:shd w:val="clear" w:color="auto" w:fill="B8CCE4"/>
            <w:tcMar>
              <w:top w:w="57" w:type="dxa"/>
              <w:left w:w="0" w:type="dxa"/>
              <w:bottom w:w="57" w:type="dxa"/>
              <w:right w:w="0" w:type="dxa"/>
            </w:tcMar>
            <w:vAlign w:val="center"/>
          </w:tcPr>
          <w:p w:rsidR="00AB0CC7" w:rsidRPr="006322EB" w:rsidRDefault="007F6E95" w:rsidP="00944637">
            <w:pPr>
              <w:keepNext/>
              <w:keepLines/>
              <w:jc w:val="center"/>
              <w:rPr>
                <w:b/>
              </w:rPr>
            </w:pPr>
            <w:r w:rsidRPr="006322EB">
              <w:rPr>
                <w:b/>
              </w:rPr>
              <w:t>Current Status</w:t>
            </w:r>
          </w:p>
        </w:tc>
        <w:tc>
          <w:tcPr>
            <w:tcW w:w="1515" w:type="dxa"/>
            <w:shd w:val="clear" w:color="auto" w:fill="B8CCE4"/>
            <w:tcMar>
              <w:top w:w="57" w:type="dxa"/>
              <w:bottom w:w="57" w:type="dxa"/>
            </w:tcMar>
            <w:vAlign w:val="center"/>
          </w:tcPr>
          <w:p w:rsidR="00AB0CC7" w:rsidRPr="006322EB" w:rsidRDefault="00944637" w:rsidP="00944637">
            <w:pPr>
              <w:keepNext/>
              <w:keepLines/>
              <w:jc w:val="center"/>
              <w:rPr>
                <w:b/>
              </w:rPr>
            </w:pPr>
            <w:r>
              <w:rPr>
                <w:b/>
              </w:rPr>
              <w:t>S</w:t>
            </w:r>
            <w:r w:rsidR="00AB0CC7" w:rsidRPr="006322EB">
              <w:rPr>
                <w:b/>
              </w:rPr>
              <w:t>table document</w:t>
            </w:r>
          </w:p>
        </w:tc>
      </w:tr>
      <w:tr w:rsidR="00AB0CC7" w:rsidRPr="006322EB" w:rsidTr="000037AD">
        <w:tc>
          <w:tcPr>
            <w:tcW w:w="2518" w:type="dxa"/>
            <w:vAlign w:val="center"/>
          </w:tcPr>
          <w:p w:rsidR="00AB0CC7" w:rsidRPr="006322EB" w:rsidRDefault="008A7638" w:rsidP="00944637">
            <w:pPr>
              <w:keepNext/>
              <w:keepLines/>
            </w:pPr>
            <w:r w:rsidRPr="006322EB">
              <w:t xml:space="preserve">ETSI </w:t>
            </w:r>
            <w:r w:rsidR="001E4BD1" w:rsidRPr="006322EB">
              <w:t>ES 202 553 V2.0.1</w:t>
            </w:r>
          </w:p>
        </w:tc>
        <w:tc>
          <w:tcPr>
            <w:tcW w:w="3827" w:type="dxa"/>
            <w:vAlign w:val="center"/>
          </w:tcPr>
          <w:p w:rsidR="00AB0CC7" w:rsidRPr="006322EB" w:rsidRDefault="001E4BD1" w:rsidP="00944637">
            <w:pPr>
              <w:keepNext/>
              <w:keepLines/>
              <w:jc w:val="left"/>
            </w:pPr>
            <w:r w:rsidRPr="006322EB">
              <w:t>Methods for Testing and Specification (MTS); Extensible notation for expressing Test Purposes, Requirements and Assertions (</w:t>
            </w:r>
            <w:proofErr w:type="spellStart"/>
            <w:r w:rsidRPr="006322EB">
              <w:t>ExTRA</w:t>
            </w:r>
            <w:proofErr w:type="spellEnd"/>
            <w:r w:rsidRPr="006322EB">
              <w:t>)</w:t>
            </w:r>
          </w:p>
        </w:tc>
        <w:tc>
          <w:tcPr>
            <w:tcW w:w="1324" w:type="dxa"/>
            <w:tcMar>
              <w:left w:w="0" w:type="dxa"/>
              <w:right w:w="0" w:type="dxa"/>
            </w:tcMar>
            <w:vAlign w:val="center"/>
          </w:tcPr>
          <w:p w:rsidR="00AB0CC7" w:rsidRPr="006322EB" w:rsidRDefault="001E4BD1" w:rsidP="00944637">
            <w:pPr>
              <w:keepNext/>
              <w:keepLines/>
              <w:jc w:val="center"/>
            </w:pPr>
            <w:r w:rsidRPr="006322EB">
              <w:t>Final Draft</w:t>
            </w:r>
          </w:p>
        </w:tc>
        <w:tc>
          <w:tcPr>
            <w:tcW w:w="1515" w:type="dxa"/>
            <w:tcMar>
              <w:left w:w="0" w:type="dxa"/>
              <w:right w:w="0" w:type="dxa"/>
            </w:tcMar>
            <w:vAlign w:val="center"/>
          </w:tcPr>
          <w:p w:rsidR="00AB0CC7" w:rsidRPr="006322EB" w:rsidRDefault="00944637" w:rsidP="00944637">
            <w:pPr>
              <w:keepNext/>
              <w:keepLines/>
              <w:jc w:val="center"/>
            </w:pPr>
            <w:r>
              <w:t>Available</w:t>
            </w:r>
          </w:p>
        </w:tc>
      </w:tr>
      <w:tr w:rsidR="007F6E95" w:rsidRPr="006322EB" w:rsidTr="000037AD">
        <w:tc>
          <w:tcPr>
            <w:tcW w:w="2518" w:type="dxa"/>
            <w:vAlign w:val="center"/>
          </w:tcPr>
          <w:p w:rsidR="007F6E95" w:rsidRPr="006322EB" w:rsidRDefault="001E4BD1" w:rsidP="00944637">
            <w:pPr>
              <w:keepNext/>
              <w:keepLines/>
            </w:pPr>
            <w:r w:rsidRPr="006322EB">
              <w:t>ETSI ES 202 951</w:t>
            </w:r>
            <w:r w:rsidR="008A7638" w:rsidRPr="006322EB">
              <w:t xml:space="preserve"> V1.1.1</w:t>
            </w:r>
          </w:p>
        </w:tc>
        <w:tc>
          <w:tcPr>
            <w:tcW w:w="3827" w:type="dxa"/>
            <w:vAlign w:val="center"/>
          </w:tcPr>
          <w:p w:rsidR="007F6E95" w:rsidRPr="006322EB" w:rsidRDefault="001E4BD1" w:rsidP="00944637">
            <w:pPr>
              <w:keepNext/>
              <w:keepLines/>
              <w:jc w:val="left"/>
            </w:pPr>
            <w:r w:rsidRPr="006322EB">
              <w:t>Model-Based Testing (MBT); Requirements for Modelling Notations.</w:t>
            </w:r>
          </w:p>
        </w:tc>
        <w:tc>
          <w:tcPr>
            <w:tcW w:w="1324" w:type="dxa"/>
            <w:tcMar>
              <w:left w:w="0" w:type="dxa"/>
              <w:right w:w="0" w:type="dxa"/>
            </w:tcMar>
            <w:vAlign w:val="center"/>
          </w:tcPr>
          <w:p w:rsidR="007F6E95" w:rsidRPr="006322EB" w:rsidRDefault="008A7638" w:rsidP="00944637">
            <w:pPr>
              <w:keepNext/>
              <w:keepLines/>
              <w:jc w:val="center"/>
            </w:pPr>
            <w:r w:rsidRPr="006322EB">
              <w:t>Published</w:t>
            </w:r>
          </w:p>
        </w:tc>
        <w:tc>
          <w:tcPr>
            <w:tcW w:w="1515" w:type="dxa"/>
            <w:tcMar>
              <w:left w:w="0" w:type="dxa"/>
              <w:right w:w="0" w:type="dxa"/>
            </w:tcMar>
            <w:vAlign w:val="center"/>
          </w:tcPr>
          <w:p w:rsidR="007F6E95" w:rsidRPr="006322EB" w:rsidRDefault="00944637" w:rsidP="00944637">
            <w:pPr>
              <w:keepNext/>
              <w:keepLines/>
              <w:jc w:val="center"/>
            </w:pPr>
            <w:r>
              <w:t>Available</w:t>
            </w:r>
          </w:p>
        </w:tc>
      </w:tr>
      <w:tr w:rsidR="007F6E95" w:rsidRPr="006322EB" w:rsidTr="000037AD">
        <w:tc>
          <w:tcPr>
            <w:tcW w:w="2518" w:type="dxa"/>
            <w:vAlign w:val="center"/>
          </w:tcPr>
          <w:p w:rsidR="007F6E95" w:rsidRPr="006322EB" w:rsidRDefault="008A7638" w:rsidP="00944637">
            <w:pPr>
              <w:keepNext/>
              <w:keepLines/>
            </w:pPr>
            <w:r w:rsidRPr="006322EB">
              <w:t>ETSI ES 201 873 V4.4.1</w:t>
            </w:r>
          </w:p>
        </w:tc>
        <w:tc>
          <w:tcPr>
            <w:tcW w:w="3827" w:type="dxa"/>
            <w:vAlign w:val="center"/>
          </w:tcPr>
          <w:p w:rsidR="007F6E95" w:rsidRPr="006322EB" w:rsidRDefault="008A7638" w:rsidP="00944637">
            <w:pPr>
              <w:keepNext/>
              <w:keepLines/>
              <w:jc w:val="left"/>
            </w:pPr>
            <w:r w:rsidRPr="006322EB">
              <w:t>The Testing and Test Control Notation version 3</w:t>
            </w:r>
          </w:p>
        </w:tc>
        <w:tc>
          <w:tcPr>
            <w:tcW w:w="1324" w:type="dxa"/>
            <w:tcMar>
              <w:left w:w="0" w:type="dxa"/>
              <w:right w:w="0" w:type="dxa"/>
            </w:tcMar>
            <w:vAlign w:val="center"/>
          </w:tcPr>
          <w:p w:rsidR="007F6E95" w:rsidRPr="006322EB" w:rsidRDefault="008A7638" w:rsidP="00944637">
            <w:pPr>
              <w:keepNext/>
              <w:keepLines/>
              <w:jc w:val="center"/>
            </w:pPr>
            <w:r w:rsidRPr="006322EB">
              <w:t>Published</w:t>
            </w:r>
          </w:p>
        </w:tc>
        <w:tc>
          <w:tcPr>
            <w:tcW w:w="1515" w:type="dxa"/>
            <w:tcMar>
              <w:left w:w="0" w:type="dxa"/>
              <w:right w:w="0" w:type="dxa"/>
            </w:tcMar>
            <w:vAlign w:val="center"/>
          </w:tcPr>
          <w:p w:rsidR="007F6E95" w:rsidRPr="006322EB" w:rsidRDefault="00944637" w:rsidP="00944637">
            <w:pPr>
              <w:keepNext/>
              <w:keepLines/>
              <w:jc w:val="center"/>
            </w:pPr>
            <w:r>
              <w:t>Available</w:t>
            </w:r>
          </w:p>
        </w:tc>
      </w:tr>
    </w:tbl>
    <w:p w:rsidR="00213878" w:rsidRPr="006322EB" w:rsidRDefault="00213878" w:rsidP="00213878"/>
    <w:p w:rsidR="0042262F" w:rsidRPr="006322EB" w:rsidRDefault="0042262F" w:rsidP="00213878">
      <w:r w:rsidRPr="006322EB">
        <w:t>Note</w:t>
      </w:r>
      <w:proofErr w:type="gramStart"/>
      <w:r w:rsidRPr="006322EB">
        <w:t>,</w:t>
      </w:r>
      <w:proofErr w:type="gramEnd"/>
      <w:r w:rsidRPr="006322EB">
        <w:t xml:space="preserve"> there is no ETSI document on TDL available yet. The documents mentioned in the table above will serve as input</w:t>
      </w:r>
      <w:r w:rsidR="00641203" w:rsidRPr="006322EB">
        <w:t xml:space="preserve"> to the anticipated TDL standard, but they will be not the subject of work in this STF.</w:t>
      </w:r>
    </w:p>
    <w:p w:rsidR="0042262F" w:rsidRPr="006322EB" w:rsidRDefault="0042262F" w:rsidP="00213878"/>
    <w:p w:rsidR="007E467E" w:rsidRPr="006322EB" w:rsidRDefault="007E467E" w:rsidP="00213878"/>
    <w:p w:rsidR="00213878" w:rsidRPr="006322EB" w:rsidRDefault="00213878" w:rsidP="00F32120">
      <w:pPr>
        <w:pStyle w:val="Heading2"/>
      </w:pPr>
      <w:r w:rsidRPr="006322EB">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3186"/>
        <w:gridCol w:w="5351"/>
      </w:tblGrid>
      <w:tr w:rsidR="00C31D6C" w:rsidRPr="006322EB" w:rsidTr="00944637">
        <w:tc>
          <w:tcPr>
            <w:tcW w:w="750" w:type="dxa"/>
            <w:shd w:val="clear" w:color="auto" w:fill="B8CCE4"/>
            <w:tcMar>
              <w:top w:w="57" w:type="dxa"/>
              <w:bottom w:w="57" w:type="dxa"/>
            </w:tcMar>
            <w:vAlign w:val="center"/>
          </w:tcPr>
          <w:p w:rsidR="00C31D6C" w:rsidRPr="006322EB" w:rsidRDefault="00C31D6C" w:rsidP="00C31D6C">
            <w:pPr>
              <w:rPr>
                <w:b/>
              </w:rPr>
            </w:pPr>
            <w:proofErr w:type="spellStart"/>
            <w:r w:rsidRPr="006322EB">
              <w:rPr>
                <w:b/>
              </w:rPr>
              <w:t>Deliv</w:t>
            </w:r>
            <w:proofErr w:type="spellEnd"/>
            <w:r w:rsidR="00B81DF9" w:rsidRPr="006322EB">
              <w:rPr>
                <w:b/>
              </w:rPr>
              <w:t>.</w:t>
            </w:r>
          </w:p>
        </w:tc>
        <w:tc>
          <w:tcPr>
            <w:tcW w:w="3186" w:type="dxa"/>
            <w:shd w:val="clear" w:color="auto" w:fill="B8CCE4"/>
            <w:tcMar>
              <w:top w:w="57" w:type="dxa"/>
              <w:bottom w:w="57" w:type="dxa"/>
            </w:tcMar>
            <w:vAlign w:val="center"/>
          </w:tcPr>
          <w:p w:rsidR="00C31D6C" w:rsidRPr="006322EB" w:rsidRDefault="00C31D6C" w:rsidP="00944637">
            <w:pPr>
              <w:rPr>
                <w:b/>
              </w:rPr>
            </w:pPr>
            <w:r w:rsidRPr="006322EB">
              <w:rPr>
                <w:b/>
              </w:rPr>
              <w:t>Work Item</w:t>
            </w:r>
            <w:r w:rsidR="00944637">
              <w:rPr>
                <w:b/>
              </w:rPr>
              <w:t xml:space="preserve">, </w:t>
            </w:r>
            <w:r w:rsidRPr="006322EB">
              <w:rPr>
                <w:b/>
              </w:rPr>
              <w:t>Standard number</w:t>
            </w:r>
          </w:p>
        </w:tc>
        <w:tc>
          <w:tcPr>
            <w:tcW w:w="5351" w:type="dxa"/>
            <w:shd w:val="clear" w:color="auto" w:fill="B8CCE4"/>
            <w:tcMar>
              <w:top w:w="57" w:type="dxa"/>
              <w:bottom w:w="57" w:type="dxa"/>
            </w:tcMar>
            <w:vAlign w:val="center"/>
          </w:tcPr>
          <w:p w:rsidR="00C31D6C" w:rsidRPr="006322EB" w:rsidRDefault="00C31D6C" w:rsidP="00944637">
            <w:pPr>
              <w:rPr>
                <w:b/>
              </w:rPr>
            </w:pPr>
            <w:r w:rsidRPr="006322EB">
              <w:rPr>
                <w:b/>
              </w:rPr>
              <w:t>Working title</w:t>
            </w:r>
            <w:r w:rsidR="00944637">
              <w:rPr>
                <w:b/>
              </w:rPr>
              <w:t xml:space="preserve">, </w:t>
            </w:r>
            <w:r w:rsidRPr="006322EB">
              <w:rPr>
                <w:b/>
              </w:rPr>
              <w:t>Scope</w:t>
            </w:r>
          </w:p>
        </w:tc>
      </w:tr>
      <w:tr w:rsidR="00C31D6C" w:rsidRPr="0025163F" w:rsidTr="00944637">
        <w:tc>
          <w:tcPr>
            <w:tcW w:w="750" w:type="dxa"/>
            <w:vAlign w:val="center"/>
          </w:tcPr>
          <w:p w:rsidR="00C31D6C" w:rsidRPr="00121D6C" w:rsidRDefault="00C31D6C" w:rsidP="007F6E95">
            <w:r w:rsidRPr="00121D6C">
              <w:t>D1</w:t>
            </w:r>
          </w:p>
        </w:tc>
        <w:tc>
          <w:tcPr>
            <w:tcW w:w="3186" w:type="dxa"/>
            <w:vAlign w:val="center"/>
          </w:tcPr>
          <w:p w:rsidR="00C31D6C" w:rsidRPr="00121D6C" w:rsidRDefault="000A35E8" w:rsidP="007F6E95">
            <w:r w:rsidRPr="00121D6C">
              <w:t>DES/MTS-140_TDL</w:t>
            </w:r>
            <w:r w:rsidRPr="00121D6C" w:rsidDel="000A35E8">
              <w:t xml:space="preserve"> </w:t>
            </w:r>
            <w:r w:rsidR="00771FDE" w:rsidRPr="00121D6C">
              <w:t>ES 203 119</w:t>
            </w:r>
          </w:p>
        </w:tc>
        <w:tc>
          <w:tcPr>
            <w:tcW w:w="5351" w:type="dxa"/>
            <w:vAlign w:val="center"/>
          </w:tcPr>
          <w:p w:rsidR="00C31D6C" w:rsidRPr="00121D6C" w:rsidRDefault="001E4BD1" w:rsidP="007F6E95">
            <w:r w:rsidRPr="00121D6C">
              <w:t>Test Description Language</w:t>
            </w:r>
          </w:p>
          <w:p w:rsidR="00C31D6C" w:rsidRPr="00202BFF" w:rsidRDefault="0055073B" w:rsidP="007F6E95">
            <w:pPr>
              <w:rPr>
                <w:lang w:val="fr-FR"/>
              </w:rPr>
            </w:pPr>
            <w:r w:rsidRPr="0055073B">
              <w:rPr>
                <w:lang w:val="fr-FR"/>
              </w:rPr>
              <w:t xml:space="preserve">Scope: </w:t>
            </w:r>
            <w:proofErr w:type="spellStart"/>
            <w:r w:rsidRPr="0055073B">
              <w:rPr>
                <w:lang w:val="fr-FR"/>
              </w:rPr>
              <w:t>common</w:t>
            </w:r>
            <w:proofErr w:type="spellEnd"/>
            <w:r w:rsidRPr="0055073B">
              <w:rPr>
                <w:lang w:val="fr-FR"/>
              </w:rPr>
              <w:t xml:space="preserve"> concepts, </w:t>
            </w:r>
            <w:proofErr w:type="spellStart"/>
            <w:r w:rsidRPr="0055073B">
              <w:rPr>
                <w:lang w:val="fr-FR"/>
              </w:rPr>
              <w:t>concrete</w:t>
            </w:r>
            <w:proofErr w:type="spellEnd"/>
            <w:r w:rsidRPr="0055073B">
              <w:rPr>
                <w:lang w:val="fr-FR"/>
              </w:rPr>
              <w:t xml:space="preserve"> </w:t>
            </w:r>
            <w:proofErr w:type="spellStart"/>
            <w:r w:rsidRPr="0055073B">
              <w:rPr>
                <w:lang w:val="fr-FR"/>
              </w:rPr>
              <w:t>syntax</w:t>
            </w:r>
            <w:proofErr w:type="spellEnd"/>
            <w:r w:rsidRPr="0055073B">
              <w:rPr>
                <w:lang w:val="fr-FR"/>
              </w:rPr>
              <w:t xml:space="preserve">, </w:t>
            </w:r>
            <w:proofErr w:type="spellStart"/>
            <w:r w:rsidRPr="0055073B">
              <w:rPr>
                <w:lang w:val="fr-FR"/>
              </w:rPr>
              <w:t>semantics</w:t>
            </w:r>
            <w:proofErr w:type="spellEnd"/>
          </w:p>
        </w:tc>
      </w:tr>
    </w:tbl>
    <w:p w:rsidR="007F6E95" w:rsidRPr="00202BFF" w:rsidRDefault="007F6E95" w:rsidP="007F6E95">
      <w:pPr>
        <w:rPr>
          <w:lang w:val="fr-FR"/>
        </w:rPr>
      </w:pPr>
    </w:p>
    <w:p w:rsidR="007E467E" w:rsidRPr="00202BFF" w:rsidRDefault="007E467E" w:rsidP="00DE6347">
      <w:pPr>
        <w:rPr>
          <w:lang w:val="fr-FR"/>
        </w:rPr>
      </w:pPr>
    </w:p>
    <w:p w:rsidR="007F6E95" w:rsidRPr="006322EB" w:rsidRDefault="003C3959" w:rsidP="00203E1D">
      <w:pPr>
        <w:pStyle w:val="Heading2"/>
      </w:pPr>
      <w:r w:rsidRPr="006322EB">
        <w:t>Deliverables schedule:</w:t>
      </w:r>
    </w:p>
    <w:p w:rsidR="00203E1D" w:rsidRPr="00121D6C" w:rsidRDefault="007234F7" w:rsidP="00121D6C">
      <w:pPr>
        <w:pStyle w:val="B0Bold"/>
      </w:pPr>
      <w:r w:rsidRPr="00121D6C">
        <w:t>DES/MTS-140_TDL</w:t>
      </w:r>
      <w:r w:rsidR="00B81DF9" w:rsidRPr="00121D6C">
        <w:tab/>
      </w:r>
      <w:r w:rsidR="00937637" w:rsidRPr="00121D6C">
        <w:t>Test Description Language (TDL)</w:t>
      </w:r>
    </w:p>
    <w:p w:rsidR="003C3959" w:rsidRPr="006322EB" w:rsidRDefault="003C3959" w:rsidP="003C3959">
      <w:pPr>
        <w:pStyle w:val="B1"/>
        <w:tabs>
          <w:tab w:val="left" w:pos="2268"/>
          <w:tab w:val="left" w:pos="4536"/>
        </w:tabs>
      </w:pPr>
      <w:r w:rsidRPr="006322EB">
        <w:t>Start of work</w:t>
      </w:r>
      <w:r w:rsidRPr="006322EB">
        <w:tab/>
      </w:r>
      <w:r w:rsidR="007A5FCA" w:rsidRPr="006322EB">
        <w:t>01</w:t>
      </w:r>
      <w:r w:rsidRPr="006322EB">
        <w:t>-</w:t>
      </w:r>
      <w:r w:rsidR="007A5FCA" w:rsidRPr="006322EB">
        <w:t>Jan</w:t>
      </w:r>
      <w:r w:rsidRPr="006322EB">
        <w:t>-</w:t>
      </w:r>
      <w:r w:rsidR="007A5FCA" w:rsidRPr="006322EB">
        <w:t>2013</w:t>
      </w:r>
    </w:p>
    <w:p w:rsidR="003C3959" w:rsidRPr="006322EB" w:rsidRDefault="003C3959" w:rsidP="003C3959">
      <w:pPr>
        <w:pStyle w:val="B1"/>
        <w:tabs>
          <w:tab w:val="left" w:pos="2268"/>
          <w:tab w:val="left" w:pos="4536"/>
        </w:tabs>
      </w:pPr>
      <w:proofErr w:type="spellStart"/>
      <w:r w:rsidRPr="006322EB">
        <w:t>ToC</w:t>
      </w:r>
      <w:proofErr w:type="spellEnd"/>
      <w:r w:rsidRPr="006322EB">
        <w:t xml:space="preserve"> and scope</w:t>
      </w:r>
      <w:r w:rsidRPr="006322EB">
        <w:tab/>
      </w:r>
      <w:r w:rsidR="00775446" w:rsidRPr="006322EB">
        <w:t>31-Jan</w:t>
      </w:r>
      <w:r w:rsidR="00203E1D" w:rsidRPr="006322EB">
        <w:t>-</w:t>
      </w:r>
      <w:r w:rsidR="007A5FCA" w:rsidRPr="006322EB">
        <w:t>2013</w:t>
      </w:r>
    </w:p>
    <w:p w:rsidR="003C3959" w:rsidRPr="006322EB" w:rsidRDefault="003C3959" w:rsidP="003C3959">
      <w:pPr>
        <w:pStyle w:val="B1"/>
        <w:tabs>
          <w:tab w:val="left" w:pos="2268"/>
          <w:tab w:val="left" w:pos="4536"/>
        </w:tabs>
      </w:pPr>
      <w:r w:rsidRPr="006322EB">
        <w:t>Early draft</w:t>
      </w:r>
      <w:r w:rsidRPr="006322EB">
        <w:tab/>
      </w:r>
      <w:r w:rsidR="007A5FCA" w:rsidRPr="006322EB">
        <w:t>31-Mar</w:t>
      </w:r>
      <w:r w:rsidR="00203E1D" w:rsidRPr="006322EB">
        <w:t>-</w:t>
      </w:r>
      <w:r w:rsidR="007A5FCA" w:rsidRPr="006322EB">
        <w:t>2013</w:t>
      </w:r>
    </w:p>
    <w:p w:rsidR="00F27464" w:rsidRPr="006322EB" w:rsidRDefault="00F27464" w:rsidP="003C3959">
      <w:pPr>
        <w:pStyle w:val="B1"/>
        <w:tabs>
          <w:tab w:val="left" w:pos="2268"/>
          <w:tab w:val="left" w:pos="4536"/>
        </w:tabs>
      </w:pPr>
      <w:r w:rsidRPr="006322EB">
        <w:t>Stable draft</w:t>
      </w:r>
      <w:r w:rsidRPr="006322EB">
        <w:tab/>
        <w:t>30-Jun-2013</w:t>
      </w:r>
    </w:p>
    <w:p w:rsidR="003C3959" w:rsidRPr="006322EB" w:rsidRDefault="00F27464" w:rsidP="003C3959">
      <w:pPr>
        <w:pStyle w:val="B1"/>
        <w:tabs>
          <w:tab w:val="left" w:pos="2268"/>
          <w:tab w:val="left" w:pos="4536"/>
        </w:tabs>
      </w:pPr>
      <w:r w:rsidRPr="006322EB">
        <w:t>Final</w:t>
      </w:r>
      <w:r w:rsidR="003C3959" w:rsidRPr="006322EB">
        <w:t xml:space="preserve"> draft</w:t>
      </w:r>
      <w:r w:rsidR="003C3959" w:rsidRPr="006322EB">
        <w:tab/>
      </w:r>
      <w:r w:rsidR="007A5FCA" w:rsidRPr="006322EB">
        <w:t>31-Oct</w:t>
      </w:r>
      <w:r w:rsidR="00203E1D" w:rsidRPr="006322EB">
        <w:t>-</w:t>
      </w:r>
      <w:r w:rsidR="007A5FCA" w:rsidRPr="006322EB">
        <w:t>2013</w:t>
      </w:r>
    </w:p>
    <w:p w:rsidR="003C3959" w:rsidRPr="006322EB" w:rsidRDefault="003C3959" w:rsidP="003C3959">
      <w:pPr>
        <w:pStyle w:val="B1"/>
        <w:tabs>
          <w:tab w:val="left" w:pos="2268"/>
          <w:tab w:val="left" w:pos="4536"/>
        </w:tabs>
      </w:pPr>
      <w:r w:rsidRPr="006322EB">
        <w:t>TB approval</w:t>
      </w:r>
      <w:r w:rsidRPr="006322EB">
        <w:tab/>
      </w:r>
      <w:r w:rsidR="007A5FCA" w:rsidRPr="006322EB">
        <w:t>30</w:t>
      </w:r>
      <w:r w:rsidRPr="006322EB">
        <w:t>-</w:t>
      </w:r>
      <w:r w:rsidR="007A5FCA" w:rsidRPr="006322EB">
        <w:t>Nov</w:t>
      </w:r>
      <w:r w:rsidRPr="006322EB">
        <w:t>-</w:t>
      </w:r>
      <w:r w:rsidR="007A5FCA" w:rsidRPr="006322EB">
        <w:t>2013</w:t>
      </w:r>
      <w:r w:rsidRPr="006322EB">
        <w:tab/>
      </w:r>
      <w:r w:rsidR="007234F7">
        <w:t>MTS#61</w:t>
      </w:r>
    </w:p>
    <w:p w:rsidR="003C3959" w:rsidRPr="006322EB" w:rsidRDefault="003C3959" w:rsidP="003C3959">
      <w:pPr>
        <w:pStyle w:val="B1"/>
        <w:tabs>
          <w:tab w:val="left" w:pos="2268"/>
          <w:tab w:val="left" w:pos="4536"/>
        </w:tabs>
      </w:pPr>
      <w:r w:rsidRPr="006322EB">
        <w:t>Publication</w:t>
      </w:r>
      <w:r w:rsidRPr="006322EB">
        <w:tab/>
      </w:r>
      <w:r w:rsidR="007A5FCA" w:rsidRPr="006322EB">
        <w:t>31</w:t>
      </w:r>
      <w:r w:rsidR="00203E1D" w:rsidRPr="006322EB">
        <w:t>-</w:t>
      </w:r>
      <w:r w:rsidR="007A5FCA" w:rsidRPr="006322EB">
        <w:t>Dec</w:t>
      </w:r>
      <w:r w:rsidR="00203E1D" w:rsidRPr="006322EB">
        <w:t>-</w:t>
      </w:r>
      <w:r w:rsidR="007A5FCA" w:rsidRPr="006322EB">
        <w:t>2013</w:t>
      </w:r>
    </w:p>
    <w:p w:rsidR="003C3959" w:rsidRDefault="003C3959" w:rsidP="003C3959"/>
    <w:p w:rsidR="00735E0D" w:rsidRPr="006322EB" w:rsidRDefault="00735E0D" w:rsidP="003C3959"/>
    <w:p w:rsidR="00A526B3" w:rsidRPr="006322EB" w:rsidRDefault="00631CBF" w:rsidP="00F32120">
      <w:pPr>
        <w:pStyle w:val="Heading2"/>
      </w:pPr>
      <w:r w:rsidRPr="006322EB">
        <w:t>Work plan, time scale and resources</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3684"/>
        <w:gridCol w:w="1420"/>
        <w:gridCol w:w="1361"/>
        <w:gridCol w:w="911"/>
        <w:gridCol w:w="850"/>
        <w:gridCol w:w="1038"/>
      </w:tblGrid>
      <w:tr w:rsidR="00D64AB2" w:rsidRPr="006322EB" w:rsidTr="00B66C20">
        <w:trPr>
          <w:trHeight w:val="924"/>
          <w:jc w:val="center"/>
        </w:trPr>
        <w:tc>
          <w:tcPr>
            <w:tcW w:w="752" w:type="dxa"/>
            <w:tcBorders>
              <w:bottom w:val="single" w:sz="4" w:space="0" w:color="auto"/>
            </w:tcBorders>
            <w:shd w:val="clear" w:color="auto" w:fill="B8CCE4"/>
            <w:vAlign w:val="center"/>
          </w:tcPr>
          <w:p w:rsidR="00D64AB2" w:rsidRPr="006322EB" w:rsidRDefault="00D64AB2" w:rsidP="00DE6347">
            <w:pPr>
              <w:keepNext/>
              <w:keepLines/>
              <w:spacing w:before="120" w:after="120"/>
              <w:rPr>
                <w:b/>
                <w:bCs/>
              </w:rPr>
            </w:pPr>
            <w:r w:rsidRPr="006322EB">
              <w:rPr>
                <w:b/>
                <w:bCs/>
              </w:rPr>
              <w:t>N</w:t>
            </w:r>
          </w:p>
        </w:tc>
        <w:tc>
          <w:tcPr>
            <w:tcW w:w="3684" w:type="dxa"/>
            <w:tcBorders>
              <w:bottom w:val="single" w:sz="4" w:space="0" w:color="auto"/>
            </w:tcBorders>
            <w:shd w:val="clear" w:color="auto" w:fill="B8CCE4"/>
            <w:vAlign w:val="center"/>
          </w:tcPr>
          <w:p w:rsidR="00D64AB2" w:rsidRPr="006322EB" w:rsidRDefault="00D64AB2" w:rsidP="00DE6347">
            <w:pPr>
              <w:keepNext/>
              <w:keepLines/>
              <w:spacing w:before="120" w:after="120"/>
              <w:rPr>
                <w:b/>
                <w:bCs/>
              </w:rPr>
            </w:pPr>
            <w:r w:rsidRPr="006322EB">
              <w:rPr>
                <w:b/>
                <w:bCs/>
              </w:rPr>
              <w:t>Task / Milestone / Deliverable</w:t>
            </w:r>
          </w:p>
        </w:tc>
        <w:tc>
          <w:tcPr>
            <w:tcW w:w="1420" w:type="dxa"/>
            <w:tcBorders>
              <w:bottom w:val="single" w:sz="4" w:space="0" w:color="auto"/>
            </w:tcBorders>
            <w:shd w:val="clear" w:color="auto" w:fill="B8CCE4"/>
            <w:tcMar>
              <w:left w:w="0" w:type="dxa"/>
              <w:right w:w="0" w:type="dxa"/>
            </w:tcMar>
            <w:vAlign w:val="center"/>
          </w:tcPr>
          <w:p w:rsidR="00D64AB2" w:rsidRPr="006322EB" w:rsidRDefault="00D64AB2" w:rsidP="00DE6347">
            <w:pPr>
              <w:pStyle w:val="StyleBoldBefore6ptAfter6ptCentered"/>
              <w:keepNext/>
              <w:keepLines/>
            </w:pPr>
            <w:r w:rsidRPr="006322EB">
              <w:t>From</w:t>
            </w:r>
          </w:p>
        </w:tc>
        <w:tc>
          <w:tcPr>
            <w:tcW w:w="1361" w:type="dxa"/>
            <w:tcBorders>
              <w:bottom w:val="single" w:sz="4" w:space="0" w:color="auto"/>
            </w:tcBorders>
            <w:shd w:val="clear" w:color="auto" w:fill="B8CCE4"/>
            <w:tcMar>
              <w:left w:w="0" w:type="dxa"/>
              <w:right w:w="0" w:type="dxa"/>
            </w:tcMar>
            <w:vAlign w:val="center"/>
          </w:tcPr>
          <w:p w:rsidR="00D64AB2" w:rsidRPr="006322EB" w:rsidRDefault="00D64AB2" w:rsidP="00DE6347">
            <w:pPr>
              <w:pStyle w:val="StyleBoldBefore6ptAfter6ptCentered"/>
              <w:keepNext/>
              <w:keepLines/>
            </w:pPr>
            <w:r w:rsidRPr="006322EB">
              <w:t>To</w:t>
            </w:r>
          </w:p>
        </w:tc>
        <w:tc>
          <w:tcPr>
            <w:tcW w:w="911" w:type="dxa"/>
            <w:tcBorders>
              <w:bottom w:val="single" w:sz="4" w:space="0" w:color="auto"/>
            </w:tcBorders>
            <w:shd w:val="clear" w:color="auto" w:fill="B8CCE4"/>
            <w:tcMar>
              <w:left w:w="0" w:type="dxa"/>
              <w:right w:w="0" w:type="dxa"/>
            </w:tcMar>
            <w:vAlign w:val="center"/>
          </w:tcPr>
          <w:p w:rsidR="00D64AB2" w:rsidRPr="006322EB" w:rsidRDefault="00D64AB2" w:rsidP="00DE6347">
            <w:pPr>
              <w:pStyle w:val="StyleBoldBefore6ptAfter6ptCentered"/>
              <w:keepNext/>
              <w:keepLines/>
            </w:pPr>
            <w:proofErr w:type="spellStart"/>
            <w:r>
              <w:t>Contr’d</w:t>
            </w:r>
            <w:proofErr w:type="spellEnd"/>
            <w:r w:rsidRPr="006322EB">
              <w:t xml:space="preserve"> experts (days)</w:t>
            </w:r>
          </w:p>
        </w:tc>
        <w:tc>
          <w:tcPr>
            <w:tcW w:w="850" w:type="dxa"/>
            <w:tcBorders>
              <w:bottom w:val="single" w:sz="4" w:space="0" w:color="auto"/>
            </w:tcBorders>
            <w:shd w:val="clear" w:color="auto" w:fill="B8CCE4"/>
            <w:tcMar>
              <w:left w:w="0" w:type="dxa"/>
              <w:right w:w="0" w:type="dxa"/>
            </w:tcMar>
            <w:vAlign w:val="center"/>
          </w:tcPr>
          <w:p w:rsidR="00D64AB2" w:rsidRPr="006322EB" w:rsidRDefault="00D64AB2" w:rsidP="00DE6347">
            <w:pPr>
              <w:pStyle w:val="StyleBoldBefore6ptAfter6ptCentered"/>
              <w:keepNext/>
              <w:keepLines/>
            </w:pPr>
            <w:r>
              <w:t>CTI</w:t>
            </w:r>
            <w:r w:rsidRPr="006322EB">
              <w:t xml:space="preserve"> experts (days)</w:t>
            </w:r>
          </w:p>
        </w:tc>
        <w:tc>
          <w:tcPr>
            <w:tcW w:w="1038" w:type="dxa"/>
            <w:tcBorders>
              <w:bottom w:val="single" w:sz="4" w:space="0" w:color="auto"/>
            </w:tcBorders>
            <w:shd w:val="clear" w:color="auto" w:fill="B8CCE4"/>
            <w:vAlign w:val="center"/>
          </w:tcPr>
          <w:p w:rsidR="00D64AB2" w:rsidRPr="006322EB" w:rsidRDefault="00D64AB2" w:rsidP="00DE6347">
            <w:pPr>
              <w:pStyle w:val="StyleBoldBefore6ptAfter6ptCentered"/>
              <w:keepNext/>
              <w:keepLines/>
            </w:pPr>
            <w:r>
              <w:t>Other experts (days)</w:t>
            </w:r>
          </w:p>
        </w:tc>
      </w:tr>
      <w:tr w:rsidR="00D64AB2" w:rsidRPr="006322EB" w:rsidTr="00B66C20">
        <w:trPr>
          <w:trHeight w:val="224"/>
          <w:jc w:val="center"/>
        </w:trPr>
        <w:tc>
          <w:tcPr>
            <w:tcW w:w="752" w:type="dxa"/>
            <w:vAlign w:val="center"/>
          </w:tcPr>
          <w:p w:rsidR="00D64AB2" w:rsidRPr="006322EB" w:rsidRDefault="00D64AB2" w:rsidP="00615997">
            <w:pPr>
              <w:keepNext/>
              <w:keepLines/>
              <w:jc w:val="left"/>
            </w:pPr>
            <w:r w:rsidRPr="006322EB">
              <w:t>M0</w:t>
            </w:r>
          </w:p>
        </w:tc>
        <w:tc>
          <w:tcPr>
            <w:tcW w:w="3684" w:type="dxa"/>
            <w:vAlign w:val="center"/>
          </w:tcPr>
          <w:p w:rsidR="00D64AB2" w:rsidRPr="006322EB" w:rsidRDefault="00D64AB2" w:rsidP="00615997">
            <w:pPr>
              <w:keepNext/>
              <w:keepLines/>
              <w:jc w:val="left"/>
            </w:pPr>
            <w:r w:rsidRPr="006322EB">
              <w:t>Start of work</w:t>
            </w:r>
          </w:p>
        </w:tc>
        <w:tc>
          <w:tcPr>
            <w:tcW w:w="2781" w:type="dxa"/>
            <w:gridSpan w:val="2"/>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01-Jan-2013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37"/>
          <w:jc w:val="center"/>
        </w:trPr>
        <w:tc>
          <w:tcPr>
            <w:tcW w:w="752" w:type="dxa"/>
            <w:vAlign w:val="center"/>
          </w:tcPr>
          <w:p w:rsidR="00D64AB2" w:rsidRPr="006322EB" w:rsidRDefault="00D64AB2" w:rsidP="00211930">
            <w:pPr>
              <w:jc w:val="center"/>
            </w:pPr>
            <w:r w:rsidRPr="006322EB">
              <w:t>T0</w:t>
            </w:r>
          </w:p>
        </w:tc>
        <w:tc>
          <w:tcPr>
            <w:tcW w:w="3684" w:type="dxa"/>
            <w:vAlign w:val="center"/>
          </w:tcPr>
          <w:p w:rsidR="00D64AB2" w:rsidRPr="006322EB" w:rsidRDefault="00D64AB2" w:rsidP="00615997">
            <w:pPr>
              <w:keepNext/>
              <w:keepLines/>
              <w:jc w:val="left"/>
            </w:pPr>
            <w:r w:rsidRPr="006322EB">
              <w:t>Project management</w:t>
            </w:r>
          </w:p>
        </w:tc>
        <w:tc>
          <w:tcPr>
            <w:tcW w:w="142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01-Jan-2013</w:t>
            </w:r>
          </w:p>
        </w:tc>
        <w:tc>
          <w:tcPr>
            <w:tcW w:w="136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31-Oct-2013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r w:rsidRPr="006322EB">
              <w:t>5</w:t>
            </w: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24"/>
          <w:jc w:val="center"/>
        </w:trPr>
        <w:tc>
          <w:tcPr>
            <w:tcW w:w="752" w:type="dxa"/>
            <w:vAlign w:val="center"/>
          </w:tcPr>
          <w:p w:rsidR="00D64AB2" w:rsidRPr="006322EB" w:rsidRDefault="00D64AB2" w:rsidP="00211930">
            <w:pPr>
              <w:jc w:val="center"/>
            </w:pPr>
            <w:r w:rsidRPr="006322EB">
              <w:lastRenderedPageBreak/>
              <w:t>T1</w:t>
            </w:r>
          </w:p>
        </w:tc>
        <w:tc>
          <w:tcPr>
            <w:tcW w:w="3684" w:type="dxa"/>
            <w:vAlign w:val="center"/>
          </w:tcPr>
          <w:p w:rsidR="00D64AB2" w:rsidRPr="006322EB" w:rsidRDefault="00D64AB2" w:rsidP="0048429F">
            <w:pPr>
              <w:keepNext/>
              <w:keepLines/>
              <w:jc w:val="left"/>
            </w:pPr>
            <w:r w:rsidRPr="006322EB">
              <w:t>Task 1: TDL concepts</w:t>
            </w:r>
          </w:p>
        </w:tc>
        <w:tc>
          <w:tcPr>
            <w:tcW w:w="142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01-Jan-2013</w:t>
            </w:r>
          </w:p>
        </w:tc>
        <w:tc>
          <w:tcPr>
            <w:tcW w:w="136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30-Sep-2013</w:t>
            </w:r>
          </w:p>
        </w:tc>
        <w:tc>
          <w:tcPr>
            <w:tcW w:w="911" w:type="dxa"/>
            <w:tcMar>
              <w:left w:w="0" w:type="dxa"/>
              <w:right w:w="0" w:type="dxa"/>
            </w:tcMar>
            <w:vAlign w:val="center"/>
          </w:tcPr>
          <w:p w:rsidR="00D64AB2" w:rsidRPr="006322EB" w:rsidRDefault="00D64AB2" w:rsidP="009F72AF">
            <w:pPr>
              <w:keepNext/>
              <w:keepLines/>
              <w:tabs>
                <w:tab w:val="clear" w:pos="1418"/>
                <w:tab w:val="clear" w:pos="4678"/>
                <w:tab w:val="clear" w:pos="5954"/>
                <w:tab w:val="clear" w:pos="7088"/>
                <w:tab w:val="decimal" w:pos="567"/>
              </w:tabs>
              <w:jc w:val="left"/>
            </w:pPr>
            <w:r>
              <w:t>62</w:t>
            </w:r>
          </w:p>
        </w:tc>
        <w:tc>
          <w:tcPr>
            <w:tcW w:w="850" w:type="dxa"/>
            <w:tcMar>
              <w:left w:w="0" w:type="dxa"/>
              <w:right w:w="0" w:type="dxa"/>
            </w:tcMar>
            <w:vAlign w:val="center"/>
          </w:tcPr>
          <w:p w:rsidR="00D64AB2" w:rsidRPr="006322EB" w:rsidRDefault="00D64AB2" w:rsidP="00D64AB2">
            <w:pPr>
              <w:keepNext/>
              <w:keepLines/>
              <w:tabs>
                <w:tab w:val="clear" w:pos="1418"/>
                <w:tab w:val="clear" w:pos="4678"/>
                <w:tab w:val="clear" w:pos="5954"/>
                <w:tab w:val="clear" w:pos="7088"/>
                <w:tab w:val="decimal" w:pos="567"/>
              </w:tabs>
              <w:jc w:val="left"/>
            </w:pPr>
            <w:r w:rsidRPr="006322EB">
              <w:t>1</w:t>
            </w:r>
            <w:r>
              <w:t>0</w:t>
            </w:r>
          </w:p>
        </w:tc>
        <w:tc>
          <w:tcPr>
            <w:tcW w:w="1038" w:type="dxa"/>
          </w:tcPr>
          <w:p w:rsidR="00D64AB2" w:rsidRPr="006322EB" w:rsidRDefault="00D64AB2" w:rsidP="009F72AF">
            <w:pPr>
              <w:keepNext/>
              <w:keepLines/>
              <w:tabs>
                <w:tab w:val="clear" w:pos="1418"/>
                <w:tab w:val="clear" w:pos="4678"/>
                <w:tab w:val="clear" w:pos="5954"/>
                <w:tab w:val="clear" w:pos="7088"/>
                <w:tab w:val="decimal" w:pos="567"/>
              </w:tabs>
              <w:jc w:val="left"/>
            </w:pPr>
          </w:p>
        </w:tc>
      </w:tr>
      <w:tr w:rsidR="00D64AB2" w:rsidRPr="006322EB" w:rsidTr="00B66C20">
        <w:trPr>
          <w:trHeight w:val="237"/>
          <w:jc w:val="center"/>
        </w:trPr>
        <w:tc>
          <w:tcPr>
            <w:tcW w:w="752" w:type="dxa"/>
            <w:vAlign w:val="center"/>
          </w:tcPr>
          <w:p w:rsidR="00D64AB2" w:rsidRPr="006322EB" w:rsidRDefault="00D64AB2" w:rsidP="00615997">
            <w:pPr>
              <w:keepNext/>
              <w:keepLines/>
              <w:jc w:val="left"/>
            </w:pPr>
            <w:r w:rsidRPr="006322EB">
              <w:t>M1</w:t>
            </w:r>
          </w:p>
        </w:tc>
        <w:tc>
          <w:tcPr>
            <w:tcW w:w="3684" w:type="dxa"/>
            <w:vAlign w:val="center"/>
          </w:tcPr>
          <w:p w:rsidR="00D64AB2" w:rsidRPr="006322EB" w:rsidRDefault="00D64AB2" w:rsidP="00615997">
            <w:pPr>
              <w:keepNext/>
              <w:keepLines/>
              <w:jc w:val="left"/>
            </w:pPr>
            <w:r w:rsidRPr="006322EB">
              <w:t>Early draft for review</w:t>
            </w:r>
          </w:p>
        </w:tc>
        <w:tc>
          <w:tcPr>
            <w:tcW w:w="2781" w:type="dxa"/>
            <w:gridSpan w:val="2"/>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31-Mar-2013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24"/>
          <w:jc w:val="center"/>
        </w:trPr>
        <w:tc>
          <w:tcPr>
            <w:tcW w:w="752" w:type="dxa"/>
            <w:vAlign w:val="center"/>
          </w:tcPr>
          <w:p w:rsidR="00D64AB2" w:rsidRPr="006322EB" w:rsidRDefault="00D64AB2" w:rsidP="00211930">
            <w:pPr>
              <w:jc w:val="center"/>
            </w:pPr>
            <w:r w:rsidRPr="006322EB">
              <w:t>T2</w:t>
            </w:r>
          </w:p>
        </w:tc>
        <w:tc>
          <w:tcPr>
            <w:tcW w:w="3684" w:type="dxa"/>
          </w:tcPr>
          <w:p w:rsidR="00D64AB2" w:rsidRPr="006322EB" w:rsidRDefault="00D64AB2" w:rsidP="00615997">
            <w:pPr>
              <w:keepNext/>
              <w:keepLines/>
            </w:pPr>
            <w:r w:rsidRPr="006322EB">
              <w:t>Task 2: TDL concrete syntax</w:t>
            </w:r>
          </w:p>
        </w:tc>
        <w:tc>
          <w:tcPr>
            <w:tcW w:w="142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01-Apr-2013</w:t>
            </w:r>
          </w:p>
        </w:tc>
        <w:tc>
          <w:tcPr>
            <w:tcW w:w="136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30-Sep-2013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r>
              <w:t>28</w:t>
            </w: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r>
              <w:t>8</w:t>
            </w:r>
          </w:p>
        </w:tc>
        <w:tc>
          <w:tcPr>
            <w:tcW w:w="1038" w:type="dxa"/>
          </w:tcPr>
          <w:p w:rsidR="00D64AB2"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24"/>
          <w:jc w:val="center"/>
        </w:trPr>
        <w:tc>
          <w:tcPr>
            <w:tcW w:w="752" w:type="dxa"/>
            <w:vAlign w:val="center"/>
          </w:tcPr>
          <w:p w:rsidR="00D64AB2" w:rsidRPr="006322EB" w:rsidRDefault="00D64AB2" w:rsidP="00211930">
            <w:pPr>
              <w:jc w:val="center"/>
            </w:pPr>
            <w:r w:rsidRPr="006322EB">
              <w:t>T3</w:t>
            </w:r>
          </w:p>
        </w:tc>
        <w:tc>
          <w:tcPr>
            <w:tcW w:w="3684" w:type="dxa"/>
          </w:tcPr>
          <w:p w:rsidR="00D64AB2" w:rsidRPr="006322EB" w:rsidRDefault="00D64AB2" w:rsidP="00615997">
            <w:pPr>
              <w:keepNext/>
              <w:keepLines/>
            </w:pPr>
            <w:r w:rsidRPr="006322EB">
              <w:t>Task 3: TDL semantics</w:t>
            </w:r>
          </w:p>
        </w:tc>
        <w:tc>
          <w:tcPr>
            <w:tcW w:w="1420" w:type="dxa"/>
            <w:tcMar>
              <w:left w:w="0" w:type="dxa"/>
              <w:right w:w="0" w:type="dxa"/>
            </w:tcMar>
            <w:vAlign w:val="center"/>
          </w:tcPr>
          <w:p w:rsidR="00D64AB2" w:rsidRPr="006322EB" w:rsidRDefault="00D64AB2" w:rsidP="007A5FCA">
            <w:pPr>
              <w:keepNext/>
              <w:keepLines/>
              <w:tabs>
                <w:tab w:val="clear" w:pos="1418"/>
                <w:tab w:val="clear" w:pos="4678"/>
                <w:tab w:val="clear" w:pos="5954"/>
                <w:tab w:val="clear" w:pos="7088"/>
              </w:tabs>
              <w:jc w:val="center"/>
            </w:pPr>
            <w:r w:rsidRPr="006322EB">
              <w:t>01-Apr-2013</w:t>
            </w:r>
          </w:p>
        </w:tc>
        <w:tc>
          <w:tcPr>
            <w:tcW w:w="1361" w:type="dxa"/>
            <w:tcMar>
              <w:left w:w="0" w:type="dxa"/>
              <w:right w:w="0" w:type="dxa"/>
            </w:tcMar>
            <w:vAlign w:val="center"/>
          </w:tcPr>
          <w:p w:rsidR="00D64AB2" w:rsidRPr="006322EB" w:rsidRDefault="00D64AB2" w:rsidP="007A5FCA">
            <w:pPr>
              <w:keepNext/>
              <w:keepLines/>
              <w:tabs>
                <w:tab w:val="clear" w:pos="1418"/>
                <w:tab w:val="clear" w:pos="4678"/>
                <w:tab w:val="clear" w:pos="5954"/>
                <w:tab w:val="clear" w:pos="7088"/>
              </w:tabs>
              <w:jc w:val="center"/>
            </w:pPr>
            <w:r w:rsidRPr="006322EB">
              <w:t>30-Sep-2013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r>
              <w:t>48</w:t>
            </w: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37"/>
          <w:jc w:val="center"/>
        </w:trPr>
        <w:tc>
          <w:tcPr>
            <w:tcW w:w="752" w:type="dxa"/>
            <w:vAlign w:val="center"/>
          </w:tcPr>
          <w:p w:rsidR="00D64AB2" w:rsidRPr="006322EB" w:rsidRDefault="00D64AB2" w:rsidP="00615997">
            <w:pPr>
              <w:keepNext/>
              <w:keepLines/>
              <w:jc w:val="left"/>
            </w:pPr>
            <w:r w:rsidRPr="006322EB">
              <w:t>M2</w:t>
            </w:r>
          </w:p>
        </w:tc>
        <w:tc>
          <w:tcPr>
            <w:tcW w:w="3684" w:type="dxa"/>
            <w:vAlign w:val="center"/>
          </w:tcPr>
          <w:p w:rsidR="00D64AB2" w:rsidRPr="006322EB" w:rsidRDefault="00D64AB2" w:rsidP="00F27464">
            <w:pPr>
              <w:keepNext/>
              <w:keepLines/>
              <w:jc w:val="left"/>
            </w:pPr>
            <w:r w:rsidRPr="006322EB">
              <w:t>Stable draft for review</w:t>
            </w:r>
          </w:p>
        </w:tc>
        <w:tc>
          <w:tcPr>
            <w:tcW w:w="2781" w:type="dxa"/>
            <w:gridSpan w:val="2"/>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30-Jun-2013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37"/>
          <w:jc w:val="center"/>
        </w:trPr>
        <w:tc>
          <w:tcPr>
            <w:tcW w:w="752" w:type="dxa"/>
            <w:vAlign w:val="center"/>
          </w:tcPr>
          <w:p w:rsidR="00D64AB2" w:rsidRPr="006322EB" w:rsidRDefault="00D64AB2" w:rsidP="00211930">
            <w:pPr>
              <w:jc w:val="center"/>
            </w:pPr>
            <w:r w:rsidRPr="006322EB">
              <w:t>T4</w:t>
            </w:r>
          </w:p>
        </w:tc>
        <w:tc>
          <w:tcPr>
            <w:tcW w:w="3684" w:type="dxa"/>
          </w:tcPr>
          <w:p w:rsidR="00D64AB2" w:rsidRPr="006322EB" w:rsidRDefault="00D64AB2" w:rsidP="00615997">
            <w:pPr>
              <w:keepNext/>
              <w:keepLines/>
            </w:pPr>
            <w:r w:rsidRPr="006322EB">
              <w:t>Task 4: TDL reference implementation</w:t>
            </w:r>
          </w:p>
        </w:tc>
        <w:tc>
          <w:tcPr>
            <w:tcW w:w="142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01-Jul-2013</w:t>
            </w:r>
          </w:p>
        </w:tc>
        <w:tc>
          <w:tcPr>
            <w:tcW w:w="136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31-Oct-2013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r>
              <w:t>40</w:t>
            </w:r>
          </w:p>
        </w:tc>
      </w:tr>
      <w:tr w:rsidR="00B35553" w:rsidRPr="006322EB" w:rsidTr="0025163F">
        <w:trPr>
          <w:trHeight w:val="224"/>
          <w:jc w:val="center"/>
        </w:trPr>
        <w:tc>
          <w:tcPr>
            <w:tcW w:w="752" w:type="dxa"/>
            <w:vAlign w:val="center"/>
          </w:tcPr>
          <w:p w:rsidR="00B35553" w:rsidRPr="006322EB" w:rsidRDefault="00B35553" w:rsidP="0025163F">
            <w:pPr>
              <w:keepNext/>
              <w:keepLines/>
              <w:jc w:val="left"/>
            </w:pPr>
            <w:r w:rsidRPr="006322EB">
              <w:t>M3</w:t>
            </w:r>
          </w:p>
        </w:tc>
        <w:tc>
          <w:tcPr>
            <w:tcW w:w="3684" w:type="dxa"/>
          </w:tcPr>
          <w:p w:rsidR="00B35553" w:rsidRPr="006322EB" w:rsidRDefault="00B35553" w:rsidP="0025163F">
            <w:pPr>
              <w:keepNext/>
              <w:keepLines/>
              <w:jc w:val="left"/>
            </w:pPr>
            <w:r w:rsidRPr="006322EB">
              <w:t xml:space="preserve">Final draft for </w:t>
            </w:r>
            <w:r>
              <w:t>review</w:t>
            </w:r>
          </w:p>
        </w:tc>
        <w:tc>
          <w:tcPr>
            <w:tcW w:w="2781" w:type="dxa"/>
            <w:gridSpan w:val="2"/>
            <w:tcMar>
              <w:left w:w="0" w:type="dxa"/>
              <w:right w:w="0" w:type="dxa"/>
            </w:tcMar>
            <w:vAlign w:val="center"/>
          </w:tcPr>
          <w:p w:rsidR="00B35553" w:rsidRPr="006322EB" w:rsidRDefault="00B35553" w:rsidP="00E15E5C">
            <w:pPr>
              <w:keepNext/>
              <w:keepLines/>
              <w:tabs>
                <w:tab w:val="clear" w:pos="1418"/>
                <w:tab w:val="clear" w:pos="4678"/>
                <w:tab w:val="clear" w:pos="5954"/>
                <w:tab w:val="clear" w:pos="7088"/>
              </w:tabs>
              <w:jc w:val="center"/>
            </w:pPr>
            <w:r w:rsidRPr="006322EB">
              <w:t>3</w:t>
            </w:r>
            <w:r w:rsidR="00E15E5C">
              <w:t>0</w:t>
            </w:r>
            <w:r w:rsidRPr="006322EB">
              <w:t>-</w:t>
            </w:r>
            <w:r w:rsidR="00E15E5C">
              <w:t>Sep</w:t>
            </w:r>
            <w:r w:rsidRPr="006322EB">
              <w:t>-2013</w:t>
            </w:r>
          </w:p>
        </w:tc>
        <w:tc>
          <w:tcPr>
            <w:tcW w:w="911" w:type="dxa"/>
            <w:tcMar>
              <w:left w:w="0" w:type="dxa"/>
              <w:right w:w="0" w:type="dxa"/>
            </w:tcMar>
            <w:vAlign w:val="center"/>
          </w:tcPr>
          <w:p w:rsidR="00B35553" w:rsidRPr="006322EB" w:rsidRDefault="00B35553" w:rsidP="0025163F">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B35553" w:rsidRPr="006322EB" w:rsidRDefault="00B35553" w:rsidP="0025163F">
            <w:pPr>
              <w:keepNext/>
              <w:keepLines/>
              <w:tabs>
                <w:tab w:val="clear" w:pos="1418"/>
                <w:tab w:val="clear" w:pos="4678"/>
                <w:tab w:val="clear" w:pos="5954"/>
                <w:tab w:val="clear" w:pos="7088"/>
                <w:tab w:val="decimal" w:pos="567"/>
              </w:tabs>
              <w:jc w:val="left"/>
            </w:pPr>
          </w:p>
        </w:tc>
        <w:tc>
          <w:tcPr>
            <w:tcW w:w="1038" w:type="dxa"/>
          </w:tcPr>
          <w:p w:rsidR="00B35553" w:rsidRPr="006322EB" w:rsidRDefault="00B35553" w:rsidP="0025163F">
            <w:pPr>
              <w:keepNext/>
              <w:keepLines/>
              <w:tabs>
                <w:tab w:val="clear" w:pos="1418"/>
                <w:tab w:val="clear" w:pos="4678"/>
                <w:tab w:val="clear" w:pos="5954"/>
                <w:tab w:val="clear" w:pos="7088"/>
                <w:tab w:val="decimal" w:pos="567"/>
              </w:tabs>
              <w:jc w:val="left"/>
            </w:pPr>
          </w:p>
        </w:tc>
      </w:tr>
      <w:tr w:rsidR="00D64AB2" w:rsidRPr="006322EB" w:rsidTr="00B66C20">
        <w:trPr>
          <w:trHeight w:val="224"/>
          <w:jc w:val="center"/>
        </w:trPr>
        <w:tc>
          <w:tcPr>
            <w:tcW w:w="752" w:type="dxa"/>
            <w:vAlign w:val="center"/>
          </w:tcPr>
          <w:p w:rsidR="00D64AB2" w:rsidRPr="006322EB" w:rsidRDefault="00D64AB2" w:rsidP="00211930">
            <w:pPr>
              <w:jc w:val="center"/>
            </w:pPr>
            <w:r w:rsidRPr="006322EB">
              <w:t>T5</w:t>
            </w:r>
          </w:p>
        </w:tc>
        <w:tc>
          <w:tcPr>
            <w:tcW w:w="3684" w:type="dxa"/>
            <w:vAlign w:val="center"/>
          </w:tcPr>
          <w:p w:rsidR="00000000" w:rsidRDefault="00B35553">
            <w:pPr>
              <w:keepNext/>
              <w:keepLines/>
              <w:jc w:val="left"/>
            </w:pPr>
            <w:r w:rsidRPr="006322EB">
              <w:t>Task 5: Consolidation of results</w:t>
            </w:r>
          </w:p>
        </w:tc>
        <w:tc>
          <w:tcPr>
            <w:tcW w:w="142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30-Sep-2013</w:t>
            </w:r>
          </w:p>
        </w:tc>
        <w:tc>
          <w:tcPr>
            <w:tcW w:w="136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31-Oct-2013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r w:rsidRPr="006322EB">
              <w:t>8</w:t>
            </w: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r w:rsidRPr="006322EB">
              <w:t>2</w:t>
            </w: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24"/>
          <w:jc w:val="center"/>
        </w:trPr>
        <w:tc>
          <w:tcPr>
            <w:tcW w:w="752" w:type="dxa"/>
            <w:vAlign w:val="center"/>
          </w:tcPr>
          <w:p w:rsidR="00D64AB2" w:rsidRPr="006322EB" w:rsidRDefault="00D64AB2" w:rsidP="00731126">
            <w:pPr>
              <w:keepNext/>
              <w:keepLines/>
              <w:jc w:val="left"/>
            </w:pPr>
            <w:r w:rsidRPr="006322EB">
              <w:t>M4</w:t>
            </w:r>
          </w:p>
        </w:tc>
        <w:tc>
          <w:tcPr>
            <w:tcW w:w="3684" w:type="dxa"/>
            <w:vAlign w:val="center"/>
          </w:tcPr>
          <w:p w:rsidR="00D64AB2" w:rsidRPr="006322EB" w:rsidRDefault="00D64AB2" w:rsidP="00D64AB2">
            <w:pPr>
              <w:keepNext/>
              <w:keepLines/>
              <w:jc w:val="left"/>
            </w:pPr>
            <w:r w:rsidRPr="006322EB">
              <w:t>Final draft for TB approval</w:t>
            </w:r>
            <w:r>
              <w:t xml:space="preserve"> &amp; </w:t>
            </w:r>
            <w:r w:rsidRPr="006322EB">
              <w:t>STF Final Report</w:t>
            </w:r>
          </w:p>
        </w:tc>
        <w:tc>
          <w:tcPr>
            <w:tcW w:w="2781" w:type="dxa"/>
            <w:gridSpan w:val="2"/>
            <w:tcMar>
              <w:left w:w="0" w:type="dxa"/>
              <w:right w:w="0" w:type="dxa"/>
            </w:tcMar>
            <w:vAlign w:val="center"/>
          </w:tcPr>
          <w:p w:rsidR="00D64AB2" w:rsidRPr="006322EB" w:rsidRDefault="00D64AB2" w:rsidP="00A6794E">
            <w:pPr>
              <w:keepNext/>
              <w:keepLines/>
              <w:tabs>
                <w:tab w:val="clear" w:pos="1418"/>
                <w:tab w:val="clear" w:pos="4678"/>
                <w:tab w:val="clear" w:pos="5954"/>
                <w:tab w:val="clear" w:pos="7088"/>
              </w:tabs>
              <w:jc w:val="center"/>
            </w:pPr>
            <w:r w:rsidRPr="006322EB">
              <w:t>31-Oct-2013</w:t>
            </w:r>
          </w:p>
        </w:tc>
        <w:tc>
          <w:tcPr>
            <w:tcW w:w="911" w:type="dxa"/>
            <w:tcMar>
              <w:left w:w="0" w:type="dxa"/>
              <w:right w:w="0" w:type="dxa"/>
            </w:tcMar>
            <w:vAlign w:val="center"/>
          </w:tcPr>
          <w:p w:rsidR="00D64AB2" w:rsidRPr="006322EB" w:rsidRDefault="00D64AB2" w:rsidP="00731126">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731126">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731126">
            <w:pPr>
              <w:keepNext/>
              <w:keepLines/>
              <w:tabs>
                <w:tab w:val="clear" w:pos="1418"/>
                <w:tab w:val="clear" w:pos="4678"/>
                <w:tab w:val="clear" w:pos="5954"/>
                <w:tab w:val="clear" w:pos="7088"/>
                <w:tab w:val="decimal" w:pos="567"/>
              </w:tabs>
              <w:jc w:val="left"/>
            </w:pPr>
          </w:p>
        </w:tc>
      </w:tr>
      <w:tr w:rsidR="00D64AB2" w:rsidRPr="006322EB" w:rsidTr="00B66C20">
        <w:trPr>
          <w:trHeight w:val="224"/>
          <w:jc w:val="center"/>
        </w:trPr>
        <w:tc>
          <w:tcPr>
            <w:tcW w:w="752" w:type="dxa"/>
            <w:vAlign w:val="center"/>
          </w:tcPr>
          <w:p w:rsidR="00D64AB2" w:rsidRPr="006322EB" w:rsidRDefault="00D64AB2" w:rsidP="00615997">
            <w:pPr>
              <w:keepNext/>
              <w:keepLines/>
              <w:jc w:val="left"/>
            </w:pPr>
            <w:r w:rsidRPr="006322EB">
              <w:t>M5</w:t>
            </w:r>
          </w:p>
        </w:tc>
        <w:tc>
          <w:tcPr>
            <w:tcW w:w="3684" w:type="dxa"/>
            <w:vAlign w:val="center"/>
          </w:tcPr>
          <w:p w:rsidR="00D64AB2" w:rsidRPr="006322EB" w:rsidRDefault="00D64AB2" w:rsidP="00615997">
            <w:pPr>
              <w:keepNext/>
              <w:keepLines/>
              <w:jc w:val="left"/>
            </w:pPr>
            <w:r w:rsidRPr="006322EB">
              <w:t>TB approval (</w:t>
            </w:r>
            <w:r>
              <w:t>MTS</w:t>
            </w:r>
            <w:r w:rsidRPr="006322EB">
              <w:t>#</w:t>
            </w:r>
            <w:r>
              <w:t>61</w:t>
            </w:r>
            <w:r w:rsidRPr="006322EB">
              <w:t>)</w:t>
            </w:r>
          </w:p>
        </w:tc>
        <w:tc>
          <w:tcPr>
            <w:tcW w:w="2781" w:type="dxa"/>
            <w:gridSpan w:val="2"/>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s>
              <w:jc w:val="center"/>
            </w:pPr>
            <w:r w:rsidRPr="006322EB">
              <w:t>30-Nov-2013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237"/>
          <w:jc w:val="center"/>
        </w:trPr>
        <w:tc>
          <w:tcPr>
            <w:tcW w:w="752" w:type="dxa"/>
            <w:vAlign w:val="center"/>
          </w:tcPr>
          <w:p w:rsidR="00D64AB2" w:rsidRPr="006322EB" w:rsidRDefault="00D64AB2" w:rsidP="00615997">
            <w:pPr>
              <w:keepNext/>
              <w:keepLines/>
              <w:jc w:val="left"/>
            </w:pPr>
            <w:r w:rsidRPr="006322EB">
              <w:t>M6</w:t>
            </w:r>
          </w:p>
        </w:tc>
        <w:tc>
          <w:tcPr>
            <w:tcW w:w="3684" w:type="dxa"/>
            <w:vAlign w:val="center"/>
          </w:tcPr>
          <w:p w:rsidR="00D64AB2" w:rsidRPr="006322EB" w:rsidRDefault="00D64AB2" w:rsidP="00615997">
            <w:pPr>
              <w:keepNext/>
              <w:keepLines/>
              <w:jc w:val="left"/>
            </w:pPr>
            <w:r w:rsidRPr="006322EB">
              <w:t>Publication</w:t>
            </w:r>
          </w:p>
        </w:tc>
        <w:tc>
          <w:tcPr>
            <w:tcW w:w="2781" w:type="dxa"/>
            <w:gridSpan w:val="2"/>
            <w:tcMar>
              <w:left w:w="0" w:type="dxa"/>
              <w:right w:w="0" w:type="dxa"/>
            </w:tcMar>
            <w:vAlign w:val="center"/>
          </w:tcPr>
          <w:p w:rsidR="00D64AB2" w:rsidRPr="006322EB" w:rsidRDefault="00D64AB2" w:rsidP="007A5FCA">
            <w:pPr>
              <w:keepNext/>
              <w:keepLines/>
              <w:tabs>
                <w:tab w:val="clear" w:pos="1418"/>
                <w:tab w:val="clear" w:pos="4678"/>
                <w:tab w:val="clear" w:pos="5954"/>
                <w:tab w:val="clear" w:pos="7088"/>
              </w:tabs>
              <w:jc w:val="center"/>
            </w:pPr>
            <w:r w:rsidRPr="006322EB">
              <w:t>31-Dec-2013</w:t>
            </w:r>
          </w:p>
        </w:tc>
        <w:tc>
          <w:tcPr>
            <w:tcW w:w="911"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850" w:type="dxa"/>
            <w:tcMar>
              <w:left w:w="0" w:type="dxa"/>
              <w:right w:w="0" w:type="dxa"/>
            </w:tcMar>
            <w:vAlign w:val="center"/>
          </w:tcPr>
          <w:p w:rsidR="00D64AB2" w:rsidRPr="006322EB" w:rsidRDefault="00D64AB2" w:rsidP="00615997">
            <w:pPr>
              <w:keepNext/>
              <w:keepLines/>
              <w:tabs>
                <w:tab w:val="clear" w:pos="1418"/>
                <w:tab w:val="clear" w:pos="4678"/>
                <w:tab w:val="clear" w:pos="5954"/>
                <w:tab w:val="clear" w:pos="7088"/>
                <w:tab w:val="decimal" w:pos="567"/>
              </w:tabs>
              <w:jc w:val="left"/>
            </w:pPr>
          </w:p>
        </w:tc>
        <w:tc>
          <w:tcPr>
            <w:tcW w:w="1038" w:type="dxa"/>
          </w:tcPr>
          <w:p w:rsidR="00D64AB2" w:rsidRPr="006322EB" w:rsidRDefault="00D64AB2" w:rsidP="00615997">
            <w:pPr>
              <w:keepNext/>
              <w:keepLines/>
              <w:tabs>
                <w:tab w:val="clear" w:pos="1418"/>
                <w:tab w:val="clear" w:pos="4678"/>
                <w:tab w:val="clear" w:pos="5954"/>
                <w:tab w:val="clear" w:pos="7088"/>
                <w:tab w:val="decimal" w:pos="567"/>
              </w:tabs>
              <w:jc w:val="left"/>
            </w:pPr>
          </w:p>
        </w:tc>
      </w:tr>
      <w:tr w:rsidR="00D64AB2" w:rsidRPr="006322EB" w:rsidTr="00B66C20">
        <w:trPr>
          <w:trHeight w:val="475"/>
          <w:jc w:val="center"/>
        </w:trPr>
        <w:tc>
          <w:tcPr>
            <w:tcW w:w="7217" w:type="dxa"/>
            <w:gridSpan w:val="4"/>
            <w:shd w:val="clear" w:color="auto" w:fill="DBE5F1"/>
            <w:vAlign w:val="center"/>
          </w:tcPr>
          <w:p w:rsidR="00D64AB2" w:rsidRPr="006322EB" w:rsidRDefault="00D64AB2" w:rsidP="00944637">
            <w:pPr>
              <w:spacing w:before="120" w:after="120"/>
              <w:rPr>
                <w:b/>
                <w:bCs/>
              </w:rPr>
            </w:pPr>
            <w:r w:rsidRPr="006322EB">
              <w:rPr>
                <w:b/>
                <w:bCs/>
              </w:rPr>
              <w:t xml:space="preserve">Total </w:t>
            </w:r>
            <w:r>
              <w:rPr>
                <w:b/>
                <w:bCs/>
              </w:rPr>
              <w:t xml:space="preserve"> </w:t>
            </w:r>
          </w:p>
        </w:tc>
        <w:tc>
          <w:tcPr>
            <w:tcW w:w="911" w:type="dxa"/>
            <w:shd w:val="clear" w:color="auto" w:fill="DBE5F1"/>
            <w:tcMar>
              <w:left w:w="0" w:type="dxa"/>
              <w:right w:w="0" w:type="dxa"/>
            </w:tcMar>
            <w:vAlign w:val="center"/>
          </w:tcPr>
          <w:p w:rsidR="00D64AB2" w:rsidRPr="006322EB" w:rsidRDefault="00D64AB2"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Pr>
                <w:b/>
              </w:rPr>
              <w:t>151</w:t>
            </w:r>
          </w:p>
        </w:tc>
        <w:tc>
          <w:tcPr>
            <w:tcW w:w="850" w:type="dxa"/>
            <w:shd w:val="clear" w:color="auto" w:fill="DBE5F1"/>
            <w:tcMar>
              <w:left w:w="0" w:type="dxa"/>
              <w:right w:w="0" w:type="dxa"/>
            </w:tcMar>
            <w:vAlign w:val="center"/>
          </w:tcPr>
          <w:p w:rsidR="00D64AB2" w:rsidRPr="006322EB" w:rsidRDefault="00D64AB2"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Pr>
                <w:b/>
              </w:rPr>
              <w:t>20</w:t>
            </w:r>
          </w:p>
        </w:tc>
        <w:tc>
          <w:tcPr>
            <w:tcW w:w="1038" w:type="dxa"/>
            <w:shd w:val="clear" w:color="auto" w:fill="DBE5F1"/>
          </w:tcPr>
          <w:p w:rsidR="00D64AB2" w:rsidRPr="006322EB" w:rsidRDefault="00D64AB2"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Pr>
                <w:b/>
              </w:rPr>
              <w:t>40</w:t>
            </w:r>
          </w:p>
        </w:tc>
      </w:tr>
    </w:tbl>
    <w:p w:rsidR="00D64AB2" w:rsidRDefault="00D64AB2" w:rsidP="00D64AB2">
      <w:r w:rsidRPr="00197EAB">
        <w:rPr>
          <w:b/>
        </w:rPr>
        <w:t>Notes</w:t>
      </w:r>
      <w:r>
        <w:t>:</w:t>
      </w:r>
    </w:p>
    <w:p w:rsidR="00D64AB2" w:rsidRDefault="00D64AB2" w:rsidP="00D64AB2">
      <w:pPr>
        <w:pStyle w:val="B1"/>
      </w:pPr>
      <w:r>
        <w:t>”Contracted experts” refers to external experts who are funded by ETSI for the purpose of this STF. The effort estimate for contracted experts includes voluntary efforts as detailed in “Part </w:t>
      </w:r>
      <w:r w:rsidRPr="009D487F">
        <w:t>III:</w:t>
      </w:r>
      <w:r>
        <w:t xml:space="preserve"> </w:t>
      </w:r>
      <w:r w:rsidRPr="009D487F">
        <w:t>Financial conditions</w:t>
      </w:r>
      <w:r>
        <w:t>”, below.</w:t>
      </w:r>
    </w:p>
    <w:p w:rsidR="00D64AB2" w:rsidRDefault="00D64AB2" w:rsidP="00D64AB2">
      <w:pPr>
        <w:pStyle w:val="B1"/>
      </w:pPr>
      <w:r>
        <w:t>“CTI experts” refers to ETSI CTI experts. Their effort estimate also includes voluntary efforts.</w:t>
      </w:r>
    </w:p>
    <w:p w:rsidR="00D64AB2" w:rsidRDefault="00D64AB2" w:rsidP="00D64AB2">
      <w:pPr>
        <w:pStyle w:val="B1"/>
      </w:pPr>
      <w:r>
        <w:t>“Other experts” refers to external experts who are not funded by ETSI, but solely by the organisations participating in this STF. They are listed here since their contribution on a “TDL reference implementation” in Task 4 is essential to ensure the quality of the STF and also provide input to the other STF tasks.</w:t>
      </w:r>
    </w:p>
    <w:p w:rsidR="00D64AB2" w:rsidRDefault="00D64AB2" w:rsidP="00D64AB2"/>
    <w:p w:rsidR="00D64AB2" w:rsidRDefault="00D64AB2" w:rsidP="00A526B3"/>
    <w:p w:rsidR="00F31685" w:rsidRDefault="00452A89" w:rsidP="00F31685">
      <w:pPr>
        <w:keepNext/>
      </w:pPr>
      <w:r>
        <w:pict>
          <v:shape id="_x0000_i1026" type="#_x0000_t75" style="width:453.75pt;height:153.75pt">
            <v:imagedata r:id="rId11" o:title=""/>
          </v:shape>
        </w:pict>
      </w:r>
    </w:p>
    <w:p w:rsidR="00F31685" w:rsidRPr="006322EB" w:rsidRDefault="00F31685" w:rsidP="00F31685">
      <w:pPr>
        <w:pStyle w:val="Guideline"/>
        <w:spacing w:before="240"/>
        <w:rPr>
          <w:i w:val="0"/>
        </w:rPr>
      </w:pPr>
      <w:proofErr w:type="gramStart"/>
      <w:r w:rsidRPr="006322EB">
        <w:rPr>
          <w:b/>
          <w:i w:val="0"/>
        </w:rPr>
        <w:t xml:space="preserve">Figure </w:t>
      </w:r>
      <w:r w:rsidR="0025163F">
        <w:rPr>
          <w:b/>
          <w:i w:val="0"/>
        </w:rPr>
        <w:t>1</w:t>
      </w:r>
      <w:r w:rsidRPr="006322EB">
        <w:rPr>
          <w:i w:val="0"/>
        </w:rPr>
        <w:t>.</w:t>
      </w:r>
      <w:proofErr w:type="gramEnd"/>
      <w:r w:rsidRPr="006322EB">
        <w:rPr>
          <w:i w:val="0"/>
        </w:rPr>
        <w:t xml:space="preserve"> </w:t>
      </w:r>
      <w:r>
        <w:rPr>
          <w:i w:val="0"/>
        </w:rPr>
        <w:t>Project G</w:t>
      </w:r>
      <w:r w:rsidR="00D944D4">
        <w:rPr>
          <w:i w:val="0"/>
        </w:rPr>
        <w:t>antt</w:t>
      </w:r>
      <w:r>
        <w:rPr>
          <w:i w:val="0"/>
        </w:rPr>
        <w:t xml:space="preserve"> chart</w:t>
      </w:r>
    </w:p>
    <w:p w:rsidR="00F31685" w:rsidRPr="006322EB" w:rsidRDefault="00F31685" w:rsidP="00F31685">
      <w:pPr>
        <w:pStyle w:val="Guideline"/>
        <w:rPr>
          <w:i w:val="0"/>
        </w:rPr>
      </w:pPr>
    </w:p>
    <w:p w:rsidR="00AD1BF3" w:rsidRPr="006322EB" w:rsidRDefault="00AD1BF3" w:rsidP="00A526B3"/>
    <w:p w:rsidR="00235703" w:rsidRPr="006322EB" w:rsidRDefault="00007B38" w:rsidP="00F32120">
      <w:pPr>
        <w:pStyle w:val="Heading2"/>
      </w:pPr>
      <w:r w:rsidRPr="006322EB">
        <w:t xml:space="preserve">Task </w:t>
      </w:r>
      <w:r w:rsidR="00B81DF9" w:rsidRPr="006322EB">
        <w:t>and milestone</w:t>
      </w:r>
      <w:r w:rsidR="00C72E73" w:rsidRPr="006322EB">
        <w:t xml:space="preserve"> </w:t>
      </w:r>
      <w:r w:rsidRPr="006322EB">
        <w:t>description</w:t>
      </w:r>
    </w:p>
    <w:p w:rsidR="002F54D6" w:rsidRPr="006322EB" w:rsidRDefault="002F54D6" w:rsidP="002F54D6">
      <w:pPr>
        <w:pStyle w:val="B0Bold"/>
      </w:pPr>
      <w:r w:rsidRPr="006322EB">
        <w:t>Task 0 – Project management</w:t>
      </w:r>
    </w:p>
    <w:p w:rsidR="00694A5E" w:rsidRPr="00694A5E" w:rsidRDefault="00694A5E" w:rsidP="00944637">
      <w:pPr>
        <w:pStyle w:val="B0Bold"/>
      </w:pPr>
      <w:r w:rsidRPr="009D7A57">
        <w:t>Activities</w:t>
      </w:r>
      <w:r w:rsidRPr="00694A5E">
        <w:t>:</w:t>
      </w:r>
    </w:p>
    <w:p w:rsidR="002F54D6" w:rsidRPr="006322EB" w:rsidRDefault="008958F0" w:rsidP="008958F0">
      <w:pPr>
        <w:pStyle w:val="B1"/>
      </w:pPr>
      <w:r w:rsidRPr="006322EB">
        <w:t>Planning, organisation, and preparation of STF meetings;</w:t>
      </w:r>
    </w:p>
    <w:p w:rsidR="008958F0" w:rsidRPr="006322EB" w:rsidRDefault="008958F0" w:rsidP="008958F0">
      <w:pPr>
        <w:pStyle w:val="B1"/>
      </w:pPr>
      <w:r w:rsidRPr="006322EB">
        <w:t>Ongoing reporting;</w:t>
      </w:r>
    </w:p>
    <w:p w:rsidR="008958F0" w:rsidRDefault="008958F0" w:rsidP="008958F0">
      <w:pPr>
        <w:pStyle w:val="B1"/>
      </w:pPr>
      <w:r w:rsidRPr="006322EB">
        <w:t>Delivery of the STF final report.</w:t>
      </w:r>
    </w:p>
    <w:p w:rsidR="00694A5E" w:rsidRDefault="00694A5E" w:rsidP="00694A5E"/>
    <w:p w:rsidR="00694A5E" w:rsidRDefault="00694A5E" w:rsidP="00694A5E">
      <w:r w:rsidRPr="009D7A57">
        <w:rPr>
          <w:b/>
        </w:rPr>
        <w:t>Efforts estimation</w:t>
      </w:r>
      <w:r>
        <w:t>: 5 days, i.e. ½ days per project month</w:t>
      </w:r>
      <w:r w:rsidR="009D7A57">
        <w:t xml:space="preserve"> for the STF lead</w:t>
      </w:r>
    </w:p>
    <w:p w:rsidR="00735E0D" w:rsidRDefault="00735E0D" w:rsidP="00694A5E"/>
    <w:p w:rsidR="00735E0D" w:rsidRPr="006322EB" w:rsidRDefault="00735E0D" w:rsidP="00694A5E">
      <w:r>
        <w:t xml:space="preserve">Task 0 contains the usual project management </w:t>
      </w:r>
      <w:r w:rsidR="00E56070">
        <w:t>done by</w:t>
      </w:r>
      <w:r>
        <w:t xml:space="preserve"> the STF, including the writing and delivery of the final report.</w:t>
      </w:r>
    </w:p>
    <w:p w:rsidR="00951047" w:rsidRPr="006322EB" w:rsidRDefault="00951047" w:rsidP="002F54D6"/>
    <w:p w:rsidR="00A526B3" w:rsidRPr="006322EB" w:rsidRDefault="00213878" w:rsidP="00B81DF9">
      <w:pPr>
        <w:pStyle w:val="B0Bold"/>
      </w:pPr>
      <w:r w:rsidRPr="006322EB">
        <w:lastRenderedPageBreak/>
        <w:t xml:space="preserve">Task </w:t>
      </w:r>
      <w:r w:rsidR="00A526B3" w:rsidRPr="006322EB">
        <w:t xml:space="preserve">1 – </w:t>
      </w:r>
      <w:r w:rsidR="001C6EB9" w:rsidRPr="006322EB">
        <w:t>TDL concepts</w:t>
      </w:r>
    </w:p>
    <w:p w:rsidR="00694A5E" w:rsidRPr="00694A5E" w:rsidRDefault="00694A5E" w:rsidP="00944637">
      <w:pPr>
        <w:pStyle w:val="B0Bold"/>
      </w:pPr>
      <w:r w:rsidRPr="009D7A57">
        <w:t>Activities</w:t>
      </w:r>
      <w:r w:rsidRPr="00694A5E">
        <w:t>:</w:t>
      </w:r>
    </w:p>
    <w:p w:rsidR="001C6EB9" w:rsidRDefault="008958F0" w:rsidP="008958F0">
      <w:pPr>
        <w:pStyle w:val="B1"/>
      </w:pPr>
      <w:r w:rsidRPr="006322EB">
        <w:t xml:space="preserve">Agreement on the </w:t>
      </w:r>
      <w:proofErr w:type="spellStart"/>
      <w:r w:rsidRPr="006322EB">
        <w:t>ToC</w:t>
      </w:r>
      <w:proofErr w:type="spellEnd"/>
      <w:r w:rsidRPr="006322EB">
        <w:t xml:space="preserve"> an</w:t>
      </w:r>
      <w:r w:rsidR="006322EB" w:rsidRPr="006322EB">
        <w:t>d structure of the TDL standard</w:t>
      </w:r>
    </w:p>
    <w:p w:rsidR="00831F29" w:rsidRPr="006322EB" w:rsidRDefault="00831F29" w:rsidP="008958F0">
      <w:pPr>
        <w:pStyle w:val="B1"/>
      </w:pPr>
      <w:r>
        <w:t xml:space="preserve">Solicitation of expected features from experts </w:t>
      </w:r>
      <w:r w:rsidR="00B53C9E">
        <w:t>inside and outside of ETSI</w:t>
      </w:r>
    </w:p>
    <w:p w:rsidR="00B53C9E" w:rsidRDefault="00831F29" w:rsidP="008958F0">
      <w:pPr>
        <w:pStyle w:val="B1"/>
      </w:pPr>
      <w:r>
        <w:t>Definition of the TDL concepts according to the categories:</w:t>
      </w:r>
    </w:p>
    <w:p w:rsidR="00B53C9E" w:rsidRDefault="00B53C9E" w:rsidP="00944637">
      <w:pPr>
        <w:pStyle w:val="B2"/>
      </w:pPr>
      <w:r>
        <w:t xml:space="preserve">structuring/scoping, </w:t>
      </w:r>
    </w:p>
    <w:p w:rsidR="00B53C9E" w:rsidRDefault="00B53C9E" w:rsidP="00944637">
      <w:pPr>
        <w:pStyle w:val="B2"/>
      </w:pPr>
      <w:r>
        <w:t xml:space="preserve">tester/SUT interactions, </w:t>
      </w:r>
    </w:p>
    <w:p w:rsidR="00B53C9E" w:rsidRDefault="00B53C9E" w:rsidP="00944637">
      <w:pPr>
        <w:pStyle w:val="B2"/>
      </w:pPr>
      <w:r>
        <w:t xml:space="preserve">behaviour of interaction flows, </w:t>
      </w:r>
    </w:p>
    <w:p w:rsidR="00B53C9E" w:rsidRDefault="00B53C9E" w:rsidP="00944637">
      <w:pPr>
        <w:pStyle w:val="B2"/>
      </w:pPr>
      <w:r>
        <w:t xml:space="preserve">test data and parameterisation, </w:t>
      </w:r>
    </w:p>
    <w:p w:rsidR="00B53C9E" w:rsidRDefault="00B53C9E" w:rsidP="00944637">
      <w:pPr>
        <w:pStyle w:val="B2"/>
      </w:pPr>
      <w:r>
        <w:t xml:space="preserve">real-time constraints in interactions, </w:t>
      </w:r>
    </w:p>
    <w:p w:rsidR="008958F0" w:rsidRDefault="00B53C9E" w:rsidP="00944637">
      <w:pPr>
        <w:pStyle w:val="B2"/>
      </w:pPr>
      <w:r>
        <w:t>requirement tracing</w:t>
      </w:r>
    </w:p>
    <w:p w:rsidR="00831F29" w:rsidRPr="006322EB" w:rsidRDefault="00831F29" w:rsidP="008958F0">
      <w:pPr>
        <w:pStyle w:val="B1"/>
      </w:pPr>
      <w:r>
        <w:t>Elaboration of the concepts</w:t>
      </w:r>
    </w:p>
    <w:p w:rsidR="001C6EB9" w:rsidRDefault="001C6EB9" w:rsidP="00071C49">
      <w:pPr>
        <w:pStyle w:val="Guideline"/>
        <w:rPr>
          <w:i w:val="0"/>
        </w:rPr>
      </w:pPr>
    </w:p>
    <w:p w:rsidR="00694A5E" w:rsidRDefault="00694A5E" w:rsidP="00694A5E">
      <w:r w:rsidRPr="009D7A57">
        <w:rPr>
          <w:b/>
        </w:rPr>
        <w:t>Efforts estimation</w:t>
      </w:r>
      <w:r>
        <w:t xml:space="preserve">: </w:t>
      </w:r>
      <w:r w:rsidR="00E15E5C">
        <w:t>72</w:t>
      </w:r>
      <w:r>
        <w:t xml:space="preserve"> days</w:t>
      </w:r>
      <w:r w:rsidR="00D944D4">
        <w:t xml:space="preserve">; </w:t>
      </w:r>
      <w:r w:rsidR="00B662DD">
        <w:t>4</w:t>
      </w:r>
      <w:r w:rsidR="00D944D4">
        <w:t xml:space="preserve"> days per month</w:t>
      </w:r>
      <w:r w:rsidR="009D7A57">
        <w:t xml:space="preserve"> </w:t>
      </w:r>
      <w:r w:rsidR="00B662DD">
        <w:t>and</w:t>
      </w:r>
      <w:r w:rsidR="009D7A57">
        <w:t xml:space="preserve"> expert assuming 4 experts between M0 and M1 (3 months) and </w:t>
      </w:r>
      <w:r w:rsidR="00854647">
        <w:t xml:space="preserve">2 days per month and expert assuming </w:t>
      </w:r>
      <w:r w:rsidR="009D7A57">
        <w:t xml:space="preserve">2 </w:t>
      </w:r>
      <w:r w:rsidR="00D944D4">
        <w:t xml:space="preserve">experts between M1 and </w:t>
      </w:r>
      <w:r w:rsidR="009D7A57">
        <w:t>M3 (6 months).</w:t>
      </w:r>
    </w:p>
    <w:p w:rsidR="006E73B7" w:rsidRDefault="006E73B7" w:rsidP="00694A5E"/>
    <w:p w:rsidR="006E73B7" w:rsidRPr="006322EB" w:rsidRDefault="00735E0D" w:rsidP="00694A5E">
      <w:r>
        <w:t xml:space="preserve">Task 1 defines the foundation of the anticipated TDL standard by providing the concepts of the language according to the mentioned categories. </w:t>
      </w:r>
      <w:r w:rsidR="00B53C9E">
        <w:t xml:space="preserve">Input to this task in terms of expected TDL features is expected from experts from within MTS, but also from other TBs and also non-members of ETSI. </w:t>
      </w:r>
      <w:r>
        <w:t>The definition</w:t>
      </w:r>
      <w:r w:rsidR="00B662DD">
        <w:t>s</w:t>
      </w:r>
      <w:r>
        <w:t xml:space="preserve"> of these concepts will be </w:t>
      </w:r>
      <w:r w:rsidR="002E3103">
        <w:t>the basis</w:t>
      </w:r>
      <w:r>
        <w:t xml:space="preserve"> </w:t>
      </w:r>
      <w:r w:rsidR="002E3103">
        <w:t>for</w:t>
      </w:r>
      <w:r>
        <w:t xml:space="preserve"> Task</w:t>
      </w:r>
      <w:r w:rsidR="00B662DD">
        <w:t xml:space="preserve">s 2 and 3 </w:t>
      </w:r>
      <w:r w:rsidR="00B53C9E">
        <w:t xml:space="preserve">on the TDL syntax and semantics </w:t>
      </w:r>
      <w:r w:rsidR="00B662DD">
        <w:t xml:space="preserve">and also </w:t>
      </w:r>
      <w:r w:rsidR="002E3103">
        <w:t>for</w:t>
      </w:r>
      <w:r w:rsidR="00B662DD">
        <w:t xml:space="preserve"> Task</w:t>
      </w:r>
      <w:r>
        <w:t xml:space="preserve"> 4</w:t>
      </w:r>
      <w:r w:rsidR="002E3103">
        <w:t xml:space="preserve"> </w:t>
      </w:r>
      <w:r w:rsidR="00B53C9E">
        <w:t xml:space="preserve">on a reference implementation </w:t>
      </w:r>
      <w:r w:rsidR="002E3103">
        <w:t>later</w:t>
      </w:r>
      <w:r w:rsidR="00D944D4">
        <w:t>. Task 1 will start first to allow some general discussion ab</w:t>
      </w:r>
      <w:r w:rsidR="00B53C9E">
        <w:t xml:space="preserve">out the scope and contents of the anticipated </w:t>
      </w:r>
      <w:r w:rsidR="00D944D4">
        <w:t xml:space="preserve">TDL standard and </w:t>
      </w:r>
      <w:r w:rsidR="009D7A57">
        <w:t xml:space="preserve">provide a headway </w:t>
      </w:r>
      <w:r w:rsidR="00B53C9E">
        <w:t>for the other tasks</w:t>
      </w:r>
      <w:r w:rsidR="00D944D4">
        <w:t>.</w:t>
      </w:r>
      <w:r w:rsidR="002E3103">
        <w:t xml:space="preserve"> Most progress is expected to occur between M0 and M1.</w:t>
      </w:r>
      <w:r w:rsidR="00831F29">
        <w:t xml:space="preserve"> The definitions of TDL concepts will be normative part of the TDL standard.</w:t>
      </w:r>
    </w:p>
    <w:p w:rsidR="00694A5E" w:rsidRPr="006322EB" w:rsidRDefault="00694A5E" w:rsidP="00071C49">
      <w:pPr>
        <w:pStyle w:val="Guideline"/>
        <w:rPr>
          <w:i w:val="0"/>
        </w:rPr>
      </w:pPr>
    </w:p>
    <w:p w:rsidR="00A526B3" w:rsidRPr="006322EB" w:rsidRDefault="00A526B3" w:rsidP="00B81DF9">
      <w:pPr>
        <w:pStyle w:val="B0Bold"/>
      </w:pPr>
      <w:r w:rsidRPr="006322EB">
        <w:t>Task</w:t>
      </w:r>
      <w:r w:rsidR="001711F0" w:rsidRPr="006322EB">
        <w:t xml:space="preserve"> </w:t>
      </w:r>
      <w:r w:rsidR="00213878" w:rsidRPr="006322EB">
        <w:t>2</w:t>
      </w:r>
      <w:r w:rsidR="00652D4E" w:rsidRPr="006322EB">
        <w:t xml:space="preserve"> </w:t>
      </w:r>
      <w:r w:rsidR="003A7099" w:rsidRPr="006322EB">
        <w:t>–</w:t>
      </w:r>
      <w:r w:rsidR="00652D4E" w:rsidRPr="006322EB">
        <w:t xml:space="preserve"> </w:t>
      </w:r>
      <w:r w:rsidR="001C6EB9" w:rsidRPr="006322EB">
        <w:t>TDL concrete syntax</w:t>
      </w:r>
    </w:p>
    <w:p w:rsidR="009D7A57" w:rsidRPr="00694A5E" w:rsidRDefault="009D7A57" w:rsidP="00944637">
      <w:pPr>
        <w:pStyle w:val="B0Bold"/>
      </w:pPr>
      <w:r w:rsidRPr="009D7A57">
        <w:t>Activities</w:t>
      </w:r>
      <w:r w:rsidRPr="00694A5E">
        <w:t>:</w:t>
      </w:r>
    </w:p>
    <w:p w:rsidR="00B662DD" w:rsidRDefault="00B662DD" w:rsidP="00B662DD">
      <w:pPr>
        <w:pStyle w:val="B1"/>
      </w:pPr>
      <w:r>
        <w:t>Solicitation of requirements from an end user’s perspective on a TDL concrete syntax; input from other ETSI TBs expected</w:t>
      </w:r>
    </w:p>
    <w:p w:rsidR="00071C49" w:rsidRDefault="004F3527" w:rsidP="004F3527">
      <w:pPr>
        <w:pStyle w:val="B1"/>
      </w:pPr>
      <w:r w:rsidRPr="006322EB">
        <w:t>Decision on the</w:t>
      </w:r>
      <w:r w:rsidR="00694A5E">
        <w:t xml:space="preserve"> general format (graphical vs. t</w:t>
      </w:r>
      <w:r w:rsidRPr="006322EB">
        <w:t xml:space="preserve">extual) and </w:t>
      </w:r>
      <w:r w:rsidR="00B662DD">
        <w:t xml:space="preserve">decision on </w:t>
      </w:r>
      <w:r w:rsidRPr="006322EB">
        <w:t>the approach of defining the syntax (e.g. LR(1) grammar</w:t>
      </w:r>
      <w:r w:rsidR="00A90943">
        <w:t xml:space="preserve"> for a textual syntax</w:t>
      </w:r>
      <w:r w:rsidRPr="006322EB">
        <w:t>)</w:t>
      </w:r>
    </w:p>
    <w:p w:rsidR="008252EA" w:rsidRPr="006322EB" w:rsidRDefault="00854647" w:rsidP="004F3527">
      <w:pPr>
        <w:pStyle w:val="B1"/>
      </w:pPr>
      <w:r>
        <w:t>Definition and specification of 1 or 2 concrete syntaxes for TDL, e.g. a textual and a graphical syntax, according to the requirements</w:t>
      </w:r>
    </w:p>
    <w:p w:rsidR="004F3527" w:rsidRDefault="004F3527" w:rsidP="00071C49"/>
    <w:p w:rsidR="009D7A57" w:rsidRDefault="009D7A57" w:rsidP="009D7A57">
      <w:r w:rsidRPr="009D7A57">
        <w:rPr>
          <w:b/>
        </w:rPr>
        <w:t>Efforts estimation</w:t>
      </w:r>
      <w:r>
        <w:t xml:space="preserve">: </w:t>
      </w:r>
      <w:r w:rsidR="00E15E5C">
        <w:t>36</w:t>
      </w:r>
      <w:r w:rsidR="00854647">
        <w:t xml:space="preserve"> days; 3 days per month </w:t>
      </w:r>
      <w:r w:rsidR="002E3103">
        <w:t>and</w:t>
      </w:r>
      <w:r w:rsidR="00854647">
        <w:t xml:space="preserve"> expert assuming 2 experts between M1 and M3 (6 months)</w:t>
      </w:r>
    </w:p>
    <w:p w:rsidR="009D7A57" w:rsidRDefault="009D7A57" w:rsidP="00071C49"/>
    <w:p w:rsidR="00E56070" w:rsidRDefault="00E56070" w:rsidP="00071C49">
      <w:r>
        <w:t xml:space="preserve">Task 2 deals with the specification of 1 or 2 concrete syntaxes of TDL according </w:t>
      </w:r>
      <w:r w:rsidR="00854647">
        <w:t>to ETSI’s</w:t>
      </w:r>
      <w:r>
        <w:t xml:space="preserve"> specific needs to support </w:t>
      </w:r>
      <w:r w:rsidR="00824CD2">
        <w:t>conformance and interoperability testing.</w:t>
      </w:r>
      <w:r w:rsidR="00854647">
        <w:t xml:space="preserve"> </w:t>
      </w:r>
      <w:r w:rsidR="00B662DD">
        <w:t xml:space="preserve">The goal is to support all TDL concepts defined in Task 1 by means of a concrete syntax. </w:t>
      </w:r>
      <w:r w:rsidR="00854647">
        <w:t xml:space="preserve">These definitions will be </w:t>
      </w:r>
      <w:r w:rsidR="00B662DD">
        <w:t xml:space="preserve">normative </w:t>
      </w:r>
      <w:r w:rsidR="00854647">
        <w:t>part of the TDL standard.</w:t>
      </w:r>
    </w:p>
    <w:p w:rsidR="00E56070" w:rsidRPr="006322EB" w:rsidRDefault="00E56070" w:rsidP="00071C49"/>
    <w:p w:rsidR="001C6EB9" w:rsidRPr="006322EB" w:rsidRDefault="001C6EB9" w:rsidP="001C6EB9">
      <w:pPr>
        <w:pStyle w:val="B0Bold"/>
      </w:pPr>
      <w:r w:rsidRPr="006322EB">
        <w:t>Task 3 – TDL semantics</w:t>
      </w:r>
    </w:p>
    <w:p w:rsidR="00E56070" w:rsidRPr="00944637" w:rsidRDefault="00E56070" w:rsidP="00944637">
      <w:pPr>
        <w:pStyle w:val="B0Bold"/>
      </w:pPr>
      <w:r w:rsidRPr="00944637">
        <w:t>Activities:</w:t>
      </w:r>
    </w:p>
    <w:p w:rsidR="001C6EB9" w:rsidRPr="00944637" w:rsidRDefault="003C4807" w:rsidP="00944637">
      <w:pPr>
        <w:pStyle w:val="B1"/>
      </w:pPr>
      <w:r w:rsidRPr="00944637">
        <w:t xml:space="preserve">Decision on the </w:t>
      </w:r>
      <w:r w:rsidR="008958F0" w:rsidRPr="00944637">
        <w:t>approach</w:t>
      </w:r>
      <w:r w:rsidRPr="00944637">
        <w:t xml:space="preserve"> to be chosen, e.</w:t>
      </w:r>
      <w:r w:rsidR="00B35553">
        <w:t>g.</w:t>
      </w:r>
      <w:r w:rsidRPr="00944637">
        <w:t xml:space="preserve"> using</w:t>
      </w:r>
      <w:r w:rsidR="008958F0" w:rsidRPr="00944637">
        <w:t xml:space="preserve"> translational or operational semantics </w:t>
      </w:r>
      <w:r w:rsidRPr="00944637">
        <w:t>to define</w:t>
      </w:r>
      <w:r w:rsidR="008958F0" w:rsidRPr="00944637">
        <w:t xml:space="preserve"> TDL</w:t>
      </w:r>
      <w:r w:rsidRPr="00944637">
        <w:t xml:space="preserve"> concepts</w:t>
      </w:r>
    </w:p>
    <w:p w:rsidR="008958F0" w:rsidRPr="00944637" w:rsidRDefault="003C4807" w:rsidP="00944637">
      <w:pPr>
        <w:pStyle w:val="B1"/>
      </w:pPr>
      <w:r w:rsidRPr="00944637">
        <w:t>Definition of the formal semantics preferably for all TDL concepts</w:t>
      </w:r>
    </w:p>
    <w:p w:rsidR="003C4807" w:rsidRPr="00944637" w:rsidRDefault="003C4807" w:rsidP="00944637">
      <w:pPr>
        <w:pStyle w:val="B1"/>
      </w:pPr>
      <w:r w:rsidRPr="00944637">
        <w:t xml:space="preserve">Mark possible gaps in the semantics definitions that cannot be closed immediately without </w:t>
      </w:r>
      <w:r w:rsidR="00824CD2" w:rsidRPr="00944637">
        <w:t xml:space="preserve">large </w:t>
      </w:r>
      <w:r w:rsidRPr="00944637">
        <w:t>additional efforts</w:t>
      </w:r>
    </w:p>
    <w:p w:rsidR="008958F0" w:rsidRDefault="008958F0" w:rsidP="001C6EB9"/>
    <w:p w:rsidR="008252EA" w:rsidRDefault="008252EA" w:rsidP="008252EA">
      <w:r w:rsidRPr="009D7A57">
        <w:rPr>
          <w:b/>
        </w:rPr>
        <w:t>Efforts estimation</w:t>
      </w:r>
      <w:r>
        <w:t xml:space="preserve">: </w:t>
      </w:r>
      <w:r w:rsidR="00E15E5C">
        <w:t>48</w:t>
      </w:r>
      <w:r>
        <w:t xml:space="preserve"> days; </w:t>
      </w:r>
      <w:r w:rsidR="00824CD2">
        <w:t>4</w:t>
      </w:r>
      <w:r>
        <w:t xml:space="preserve"> days per month </w:t>
      </w:r>
      <w:r w:rsidR="002E3103">
        <w:t>and</w:t>
      </w:r>
      <w:r>
        <w:t xml:space="preserve"> expert assuming 2 experts between M1 and M3 (6 months)</w:t>
      </w:r>
    </w:p>
    <w:p w:rsidR="008252EA" w:rsidRDefault="008252EA" w:rsidP="008252EA"/>
    <w:p w:rsidR="008252EA" w:rsidRDefault="008252EA" w:rsidP="001C6EB9">
      <w:r>
        <w:t>Task 3 defines the semantics of the TDL concepts defined in Task 1.</w:t>
      </w:r>
      <w:r w:rsidR="00B662DD">
        <w:t xml:space="preserve"> If parts of the TDL concepts cannot be sufficiently covered by means of semantics definitions given the available resources and timeframe, they will be marked for future work. These semantics definitions will be normative part of the TDL standard.</w:t>
      </w:r>
    </w:p>
    <w:p w:rsidR="008252EA" w:rsidRDefault="008252EA" w:rsidP="001C6EB9"/>
    <w:p w:rsidR="008252EA" w:rsidRPr="006322EB" w:rsidRDefault="008252EA" w:rsidP="001C6EB9"/>
    <w:p w:rsidR="001C6EB9" w:rsidRPr="006322EB" w:rsidRDefault="001C6EB9" w:rsidP="001C6EB9">
      <w:pPr>
        <w:pStyle w:val="B0Bold"/>
      </w:pPr>
      <w:r w:rsidRPr="006322EB">
        <w:t>Task 4 – TDL reference implementation</w:t>
      </w:r>
    </w:p>
    <w:p w:rsidR="00E56070" w:rsidRDefault="00E56070" w:rsidP="00944637">
      <w:pPr>
        <w:pStyle w:val="B0Bold"/>
      </w:pPr>
      <w:r w:rsidRPr="00E56070">
        <w:t>Activities:</w:t>
      </w:r>
    </w:p>
    <w:p w:rsidR="001C6EB9" w:rsidRDefault="008958F0" w:rsidP="008958F0">
      <w:pPr>
        <w:pStyle w:val="B1"/>
      </w:pPr>
      <w:r w:rsidRPr="006322EB">
        <w:t>Decision about scope of the reference implementation, i.e. supported TDL features</w:t>
      </w:r>
      <w:r w:rsidR="00E56070">
        <w:t xml:space="preserve"> and concrete syntax</w:t>
      </w:r>
    </w:p>
    <w:p w:rsidR="00DF6906" w:rsidRPr="006322EB" w:rsidRDefault="00DF6906" w:rsidP="008958F0">
      <w:pPr>
        <w:pStyle w:val="B1"/>
      </w:pPr>
      <w:r>
        <w:t>Definition and implementation of the TDL meta-model based on the agreed TDL concepts</w:t>
      </w:r>
    </w:p>
    <w:p w:rsidR="008958F0" w:rsidRDefault="00DF6906" w:rsidP="008958F0">
      <w:pPr>
        <w:pStyle w:val="B1"/>
      </w:pPr>
      <w:r>
        <w:t>Implementation of a TDL editor that maps the input of a TDL specification to an instance of the TDL meta-model</w:t>
      </w:r>
    </w:p>
    <w:p w:rsidR="00DF6906" w:rsidRPr="006322EB" w:rsidRDefault="00DF6906" w:rsidP="008958F0">
      <w:pPr>
        <w:pStyle w:val="B1"/>
      </w:pPr>
      <w:r>
        <w:t>Implementation of means to visualize</w:t>
      </w:r>
      <w:r w:rsidR="003C4807">
        <w:t xml:space="preserve"> the TDL meta-model representation of a TDL spec</w:t>
      </w:r>
    </w:p>
    <w:p w:rsidR="008958F0" w:rsidRDefault="008958F0" w:rsidP="001C6EB9"/>
    <w:p w:rsidR="008252EA" w:rsidRDefault="008252EA" w:rsidP="008252EA">
      <w:r w:rsidRPr="009D7A57">
        <w:rPr>
          <w:b/>
        </w:rPr>
        <w:t>Efforts estimation</w:t>
      </w:r>
      <w:r>
        <w:t xml:space="preserve">: </w:t>
      </w:r>
      <w:r w:rsidR="00765A2A">
        <w:t>40 days</w:t>
      </w:r>
      <w:r>
        <w:t xml:space="preserve">; </w:t>
      </w:r>
      <w:r w:rsidR="00765A2A">
        <w:t xml:space="preserve">performed by 1 or 2 non-contracted experts; 10 days per month </w:t>
      </w:r>
      <w:r>
        <w:t>between M</w:t>
      </w:r>
      <w:r w:rsidR="00765A2A">
        <w:t>2</w:t>
      </w:r>
      <w:r>
        <w:t xml:space="preserve"> and M</w:t>
      </w:r>
      <w:r w:rsidR="00765A2A">
        <w:t>4</w:t>
      </w:r>
      <w:r>
        <w:t xml:space="preserve"> (</w:t>
      </w:r>
      <w:r w:rsidR="00765A2A">
        <w:t>4</w:t>
      </w:r>
      <w:r>
        <w:t xml:space="preserve"> months)</w:t>
      </w:r>
    </w:p>
    <w:p w:rsidR="008252EA" w:rsidRDefault="008252EA" w:rsidP="008252EA"/>
    <w:p w:rsidR="009D7A57" w:rsidRDefault="009D7A57" w:rsidP="001C6EB9">
      <w:r>
        <w:t xml:space="preserve">Task 4 is a completely voluntary effort provided by 1 or 2 supporting </w:t>
      </w:r>
      <w:r w:rsidR="00E15E5C">
        <w:t>organizations</w:t>
      </w:r>
      <w:r w:rsidR="00E56070">
        <w:t>. Its goal is to provide a proof of concept for the TDL specification</w:t>
      </w:r>
      <w:r w:rsidR="00B53C9E">
        <w:t>s</w:t>
      </w:r>
      <w:r w:rsidR="00E56070">
        <w:t xml:space="preserve"> elaborated in Tasks 1 and 2</w:t>
      </w:r>
      <w:r w:rsidR="00765A2A">
        <w:t xml:space="preserve"> and provide</w:t>
      </w:r>
      <w:r w:rsidR="00DF6906">
        <w:t xml:space="preserve"> reasoning on the semantics</w:t>
      </w:r>
      <w:r w:rsidR="00B53C9E">
        <w:t xml:space="preserve"> definitions in</w:t>
      </w:r>
      <w:r w:rsidR="00DF6906">
        <w:t xml:space="preserve"> Task 3</w:t>
      </w:r>
      <w:r w:rsidR="00E56070">
        <w:t>. It will implement an agreed set of TDL (core) features as a meta-model (abstract syntax) an</w:t>
      </w:r>
      <w:r w:rsidR="00DF6906">
        <w:t>d</w:t>
      </w:r>
      <w:r w:rsidR="00E56070">
        <w:t xml:space="preserve"> realize a TDL concrete syntax</w:t>
      </w:r>
      <w:r w:rsidR="00DF6906">
        <w:t>. The output of this task is a simple editor for TDL specifications with means for additional visualizations of TDL specs.</w:t>
      </w:r>
    </w:p>
    <w:p w:rsidR="009D7A57" w:rsidRPr="006322EB" w:rsidRDefault="009D7A57" w:rsidP="001C6EB9"/>
    <w:p w:rsidR="001C6EB9" w:rsidRPr="006322EB" w:rsidRDefault="001C6EB9" w:rsidP="001C6EB9">
      <w:pPr>
        <w:pStyle w:val="B0Bold"/>
      </w:pPr>
      <w:r w:rsidRPr="006322EB">
        <w:t>Task 5 – Consolidation of results</w:t>
      </w:r>
    </w:p>
    <w:p w:rsidR="00E56070" w:rsidRDefault="00E56070" w:rsidP="00944637">
      <w:pPr>
        <w:pStyle w:val="B0Bold"/>
      </w:pPr>
      <w:r w:rsidRPr="00E56070">
        <w:t>Activities:</w:t>
      </w:r>
    </w:p>
    <w:p w:rsidR="001C6EB9" w:rsidRPr="006322EB" w:rsidRDefault="008958F0" w:rsidP="008958F0">
      <w:pPr>
        <w:pStyle w:val="B1"/>
      </w:pPr>
      <w:r w:rsidRPr="006322EB">
        <w:t>Summarizing and consolidating results from Tasks 1 to 3;</w:t>
      </w:r>
    </w:p>
    <w:p w:rsidR="008958F0" w:rsidRPr="006322EB" w:rsidRDefault="004F3527" w:rsidP="008958F0">
      <w:pPr>
        <w:pStyle w:val="B1"/>
      </w:pPr>
      <w:r w:rsidRPr="006322EB">
        <w:t>Incorporation of findings from Task 4;</w:t>
      </w:r>
    </w:p>
    <w:p w:rsidR="004F3527" w:rsidRPr="006322EB" w:rsidRDefault="004F3527" w:rsidP="008958F0">
      <w:pPr>
        <w:pStyle w:val="B1"/>
      </w:pPr>
      <w:r w:rsidRPr="006322EB">
        <w:t>Incorporation of feedback f</w:t>
      </w:r>
      <w:r w:rsidR="00765A2A">
        <w:t>rom review of stable draft</w:t>
      </w:r>
      <w:r w:rsidRPr="006322EB">
        <w:t>;</w:t>
      </w:r>
    </w:p>
    <w:p w:rsidR="004F3527" w:rsidRPr="006322EB" w:rsidRDefault="004F3527" w:rsidP="008958F0">
      <w:pPr>
        <w:pStyle w:val="B1"/>
      </w:pPr>
      <w:r w:rsidRPr="006322EB">
        <w:t>Creation of the final draft for TB approval</w:t>
      </w:r>
    </w:p>
    <w:p w:rsidR="008958F0" w:rsidRPr="006322EB" w:rsidRDefault="008958F0" w:rsidP="001C6EB9"/>
    <w:p w:rsidR="008252EA" w:rsidRDefault="008252EA" w:rsidP="008252EA">
      <w:r w:rsidRPr="009D7A57">
        <w:rPr>
          <w:b/>
        </w:rPr>
        <w:t>Efforts estimation</w:t>
      </w:r>
      <w:r>
        <w:t xml:space="preserve">: </w:t>
      </w:r>
      <w:r w:rsidR="00E15E5C">
        <w:t>10</w:t>
      </w:r>
      <w:r>
        <w:t xml:space="preserve"> days; 2½ days per </w:t>
      </w:r>
      <w:r w:rsidR="00765A2A">
        <w:t xml:space="preserve">expert </w:t>
      </w:r>
      <w:r>
        <w:t xml:space="preserve">assuming </w:t>
      </w:r>
      <w:r w:rsidR="00765A2A">
        <w:t xml:space="preserve">4 </w:t>
      </w:r>
      <w:r>
        <w:t xml:space="preserve">experts </w:t>
      </w:r>
      <w:r w:rsidR="00765A2A">
        <w:t xml:space="preserve">are involved </w:t>
      </w:r>
      <w:r>
        <w:t>(</w:t>
      </w:r>
      <w:r w:rsidR="00765A2A">
        <w:t>1 month</w:t>
      </w:r>
      <w:r>
        <w:t>)</w:t>
      </w:r>
    </w:p>
    <w:p w:rsidR="008252EA" w:rsidRDefault="008252EA" w:rsidP="008252EA"/>
    <w:p w:rsidR="001C6EB9" w:rsidRDefault="008252EA" w:rsidP="001C6EB9">
      <w:r>
        <w:t>Task 5 summarizes the results from the previous Tasks 1, 2, and 3 and considers the feedback from the TB review of the stable draft and findings when realizing the reference implementation in Task 4. The goal of this task is to prepare the final draft of the TDL standard for TB approval.</w:t>
      </w:r>
    </w:p>
    <w:p w:rsidR="008252EA" w:rsidRDefault="008252EA" w:rsidP="001C6EB9"/>
    <w:p w:rsidR="008252EA" w:rsidRPr="006322EB" w:rsidRDefault="008252EA" w:rsidP="001C6EB9"/>
    <w:p w:rsidR="00C72E73" w:rsidRPr="006322EB" w:rsidRDefault="00C72E73" w:rsidP="00B81DF9">
      <w:pPr>
        <w:pStyle w:val="B0Bold"/>
      </w:pPr>
      <w:r w:rsidRPr="006322EB">
        <w:t xml:space="preserve">Milestone 1 – </w:t>
      </w:r>
      <w:r w:rsidR="001C6EB9" w:rsidRPr="006322EB">
        <w:t>Early draft for review</w:t>
      </w:r>
    </w:p>
    <w:p w:rsidR="00E15E5C" w:rsidRPr="006322EB" w:rsidRDefault="00E15E5C" w:rsidP="00E15E5C">
      <w:proofErr w:type="gramStart"/>
      <w:r w:rsidRPr="006322EB">
        <w:t>Delivery of an early draft on TDL setting the scope of TDL and describing the main c</w:t>
      </w:r>
      <w:r>
        <w:t>oncepts of TDL.</w:t>
      </w:r>
      <w:proofErr w:type="gramEnd"/>
    </w:p>
    <w:p w:rsidR="006D510A" w:rsidRPr="006322EB" w:rsidRDefault="006D510A" w:rsidP="00071C49"/>
    <w:p w:rsidR="00C72E73" w:rsidRPr="006322EB" w:rsidRDefault="00C72E73" w:rsidP="00B81DF9">
      <w:pPr>
        <w:pStyle w:val="B0Bold"/>
      </w:pPr>
      <w:r w:rsidRPr="006322EB">
        <w:t xml:space="preserve">Milestone </w:t>
      </w:r>
      <w:r w:rsidR="001C6EB9" w:rsidRPr="006322EB">
        <w:t>2</w:t>
      </w:r>
      <w:r w:rsidRPr="006322EB">
        <w:t xml:space="preserve"> </w:t>
      </w:r>
      <w:r w:rsidR="001C6EB9" w:rsidRPr="006322EB">
        <w:t>–</w:t>
      </w:r>
      <w:r w:rsidRPr="006322EB">
        <w:t xml:space="preserve"> </w:t>
      </w:r>
      <w:r w:rsidR="001C6EB9" w:rsidRPr="006322EB">
        <w:t>Stable draft for review</w:t>
      </w:r>
    </w:p>
    <w:p w:rsidR="00E15E5C" w:rsidRPr="006322EB" w:rsidRDefault="00E15E5C" w:rsidP="00E15E5C">
      <w:proofErr w:type="gramStart"/>
      <w:r w:rsidRPr="006322EB">
        <w:t xml:space="preserve">Delivery of a stable draft on TDL that </w:t>
      </w:r>
      <w:r>
        <w:t>contains complete coverage of TDL concepts.</w:t>
      </w:r>
      <w:proofErr w:type="gramEnd"/>
      <w:r>
        <w:t xml:space="preserve"> It </w:t>
      </w:r>
      <w:r w:rsidRPr="006322EB">
        <w:t xml:space="preserve">takes into account feedback from the </w:t>
      </w:r>
      <w:r>
        <w:t xml:space="preserve">previous </w:t>
      </w:r>
      <w:r w:rsidRPr="006322EB">
        <w:t>review and extends the document to contain also the TDL concrete syntax and a description of the TDL semantics.</w:t>
      </w:r>
    </w:p>
    <w:p w:rsidR="006D510A" w:rsidRPr="006322EB" w:rsidRDefault="006D510A" w:rsidP="00BC7275"/>
    <w:p w:rsidR="001C6EB9" w:rsidRPr="006322EB" w:rsidRDefault="001C6EB9" w:rsidP="001C6EB9">
      <w:pPr>
        <w:pStyle w:val="B0Bold"/>
      </w:pPr>
      <w:bookmarkStart w:id="7" w:name="_Toc229392240"/>
      <w:r w:rsidRPr="006322EB">
        <w:t xml:space="preserve">Milestone 3 – Final draft for </w:t>
      </w:r>
      <w:r w:rsidR="00E15E5C">
        <w:t>review</w:t>
      </w:r>
    </w:p>
    <w:p w:rsidR="00E15E5C" w:rsidRPr="006322EB" w:rsidRDefault="00E15E5C" w:rsidP="00E15E5C">
      <w:proofErr w:type="gramStart"/>
      <w:r w:rsidRPr="006322EB">
        <w:t>Delivery of a final draft on TDL that takes into account feedback from the previous review and completes the document by closing any open parts.</w:t>
      </w:r>
      <w:proofErr w:type="gramEnd"/>
    </w:p>
    <w:p w:rsidR="006D510A" w:rsidRPr="006322EB" w:rsidRDefault="006D510A" w:rsidP="001C6EB9"/>
    <w:p w:rsidR="001C6EB9" w:rsidRPr="006322EB" w:rsidRDefault="001C6EB9" w:rsidP="001C6EB9">
      <w:pPr>
        <w:pStyle w:val="B0Bold"/>
      </w:pPr>
      <w:r w:rsidRPr="006322EB">
        <w:t xml:space="preserve">Milestone 4 – </w:t>
      </w:r>
      <w:r w:rsidR="006B497B">
        <w:t xml:space="preserve">Final draft for TB approval &amp; </w:t>
      </w:r>
      <w:r w:rsidRPr="006322EB">
        <w:t>STF Final Report</w:t>
      </w:r>
    </w:p>
    <w:p w:rsidR="006B497B" w:rsidRPr="006322EB" w:rsidRDefault="006B497B" w:rsidP="006B497B">
      <w:r w:rsidRPr="006322EB">
        <w:t xml:space="preserve">Delivery of </w:t>
      </w:r>
      <w:r>
        <w:t>the final draft for TB approval in MTS#61 that takes into account any feedback on the previous version and all findings from the work in the STF. In addition, the</w:t>
      </w:r>
      <w:r w:rsidRPr="006322EB">
        <w:t xml:space="preserve"> </w:t>
      </w:r>
      <w:r>
        <w:t xml:space="preserve">STF </w:t>
      </w:r>
      <w:r w:rsidRPr="006322EB">
        <w:t xml:space="preserve">final report </w:t>
      </w:r>
      <w:r>
        <w:t xml:space="preserve">will be made available </w:t>
      </w:r>
      <w:r w:rsidRPr="006322EB">
        <w:t>summarizing the achievements and providing the agreed key performance indicators.</w:t>
      </w:r>
      <w:r>
        <w:t xml:space="preserve"> This milestone concludes the work of this STF.</w:t>
      </w:r>
    </w:p>
    <w:p w:rsidR="006B497B" w:rsidRPr="006322EB" w:rsidRDefault="006B497B" w:rsidP="006B497B"/>
    <w:p w:rsidR="006B497B" w:rsidRPr="006322EB" w:rsidRDefault="006B497B" w:rsidP="006B497B">
      <w:pPr>
        <w:pStyle w:val="B0Bold"/>
      </w:pPr>
      <w:r w:rsidRPr="006322EB">
        <w:t xml:space="preserve">Milestone </w:t>
      </w:r>
      <w:r>
        <w:t>5</w:t>
      </w:r>
      <w:r w:rsidRPr="006322EB">
        <w:t xml:space="preserve"> – </w:t>
      </w:r>
      <w:r>
        <w:t>TB approval</w:t>
      </w:r>
    </w:p>
    <w:p w:rsidR="006B497B" w:rsidRPr="006322EB" w:rsidRDefault="006B497B" w:rsidP="006B497B">
      <w:r w:rsidRPr="006322EB">
        <w:t>Delivery of the final report at the end of the STF summarizing the achievements and providing the agreed key performance indicators.</w:t>
      </w:r>
    </w:p>
    <w:p w:rsidR="006B497B" w:rsidRPr="006322EB" w:rsidRDefault="006B497B" w:rsidP="006B497B"/>
    <w:p w:rsidR="006B497B" w:rsidRPr="006322EB" w:rsidRDefault="006B497B" w:rsidP="006B497B">
      <w:pPr>
        <w:pStyle w:val="B0Bold"/>
      </w:pPr>
      <w:r>
        <w:lastRenderedPageBreak/>
        <w:t>Milestone 6</w:t>
      </w:r>
      <w:r w:rsidRPr="006322EB">
        <w:t xml:space="preserve"> – </w:t>
      </w:r>
      <w:r>
        <w:t>Publication</w:t>
      </w:r>
    </w:p>
    <w:p w:rsidR="006B497B" w:rsidRPr="006322EB" w:rsidRDefault="006B497B" w:rsidP="006B497B">
      <w:r>
        <w:t>Publication of the ETSI Standard on TDL.</w:t>
      </w:r>
    </w:p>
    <w:p w:rsidR="006D510A" w:rsidRPr="006322EB" w:rsidRDefault="006D510A" w:rsidP="001C6EB9"/>
    <w:p w:rsidR="001C6EB9" w:rsidRPr="006322EB" w:rsidRDefault="001C6EB9" w:rsidP="001C6EB9"/>
    <w:p w:rsidR="00915AB2" w:rsidRPr="006322EB" w:rsidRDefault="00915AB2" w:rsidP="00AB0CC7">
      <w:pPr>
        <w:pStyle w:val="Heading1"/>
      </w:pPr>
      <w:r w:rsidRPr="006322EB">
        <w:t xml:space="preserve">Required </w:t>
      </w:r>
      <w:r w:rsidR="00203E1D" w:rsidRPr="006322EB">
        <w:t>e</w:t>
      </w:r>
      <w:r w:rsidRPr="006322EB">
        <w:t>xpertise</w:t>
      </w:r>
    </w:p>
    <w:p w:rsidR="00915AB2" w:rsidRPr="006322EB" w:rsidRDefault="00915AB2" w:rsidP="00944637">
      <w:pPr>
        <w:pStyle w:val="B0"/>
      </w:pPr>
      <w:r w:rsidRPr="006322EB">
        <w:t xml:space="preserve">Up to </w:t>
      </w:r>
      <w:r w:rsidR="00F27464" w:rsidRPr="006322EB">
        <w:t>4</w:t>
      </w:r>
      <w:r w:rsidRPr="006322EB">
        <w:t xml:space="preserve"> experts </w:t>
      </w:r>
      <w:r w:rsidR="005225F6" w:rsidRPr="006322EB">
        <w:t xml:space="preserve">to ensure the following mix </w:t>
      </w:r>
      <w:r w:rsidRPr="006322EB">
        <w:t>of skills:</w:t>
      </w:r>
    </w:p>
    <w:p w:rsidR="00915AB2" w:rsidRPr="006322EB" w:rsidRDefault="007A5FCA" w:rsidP="00915AB2">
      <w:pPr>
        <w:pStyle w:val="B1"/>
      </w:pPr>
      <w:r w:rsidRPr="006322EB">
        <w:t xml:space="preserve">Deep understanding of black-box testing and the peculiarities of </w:t>
      </w:r>
      <w:r w:rsidR="001E4BD1" w:rsidRPr="006322EB">
        <w:t xml:space="preserve">testing </w:t>
      </w:r>
      <w:r w:rsidRPr="006322EB">
        <w:t>communicating real-time systems</w:t>
      </w:r>
      <w:r w:rsidR="00AB2C56" w:rsidRPr="006322EB">
        <w:t>;</w:t>
      </w:r>
    </w:p>
    <w:p w:rsidR="00AB2C56" w:rsidRPr="006322EB" w:rsidRDefault="007A5FCA" w:rsidP="00915AB2">
      <w:pPr>
        <w:pStyle w:val="B1"/>
      </w:pPr>
      <w:r w:rsidRPr="006322EB">
        <w:t>Experiences in modelling</w:t>
      </w:r>
      <w:r w:rsidR="001E4BD1" w:rsidRPr="006322EB">
        <w:t xml:space="preserve"> and </w:t>
      </w:r>
      <w:r w:rsidRPr="006322EB">
        <w:t xml:space="preserve">description techniques such as </w:t>
      </w:r>
      <w:r w:rsidR="001E4BD1" w:rsidRPr="006322EB">
        <w:t xml:space="preserve">TTCN-3, </w:t>
      </w:r>
      <w:r w:rsidRPr="006322EB">
        <w:t>UML, MSC</w:t>
      </w:r>
      <w:r w:rsidR="00AB2C56" w:rsidRPr="006322EB">
        <w:t>;</w:t>
      </w:r>
    </w:p>
    <w:p w:rsidR="00261BDA" w:rsidRPr="006322EB" w:rsidRDefault="00261BDA" w:rsidP="00261BDA">
      <w:pPr>
        <w:pStyle w:val="B1"/>
      </w:pPr>
      <w:r w:rsidRPr="006322EB">
        <w:t>Experiences in the design of software languages and compiler/transformation techniques, including model-transformation techniques;</w:t>
      </w:r>
    </w:p>
    <w:p w:rsidR="00B81DF9" w:rsidRPr="006322EB" w:rsidRDefault="00AB2C56" w:rsidP="00915AB2">
      <w:pPr>
        <w:pStyle w:val="B1"/>
      </w:pPr>
      <w:r w:rsidRPr="006322EB">
        <w:t>Experiences in the design of formal semantics</w:t>
      </w:r>
      <w:r w:rsidR="00261BDA" w:rsidRPr="006322EB">
        <w:t xml:space="preserve"> for software languages</w:t>
      </w:r>
      <w:r w:rsidRPr="006322EB">
        <w:t xml:space="preserve"> using notations such as s</w:t>
      </w:r>
      <w:r w:rsidR="007A5FCA" w:rsidRPr="006322EB">
        <w:t>tate</w:t>
      </w:r>
      <w:r w:rsidRPr="006322EB">
        <w:t>c</w:t>
      </w:r>
      <w:r w:rsidR="007A5FCA" w:rsidRPr="006322EB">
        <w:t>harts, process algebra</w:t>
      </w:r>
      <w:r w:rsidR="001E4BD1" w:rsidRPr="006322EB">
        <w:t>, Petri nets</w:t>
      </w:r>
      <w:r w:rsidR="00261BDA" w:rsidRPr="006322EB">
        <w:t xml:space="preserve"> and others.</w:t>
      </w:r>
    </w:p>
    <w:p w:rsidR="00915AB2" w:rsidRPr="006322EB" w:rsidRDefault="00915AB2" w:rsidP="00915AB2"/>
    <w:p w:rsidR="00615997" w:rsidRPr="006322EB" w:rsidRDefault="00615997" w:rsidP="00915AB2"/>
    <w:p w:rsidR="00615997" w:rsidRPr="006322EB" w:rsidRDefault="00615997" w:rsidP="00915AB2"/>
    <w:bookmarkEnd w:id="7"/>
    <w:p w:rsidR="00A526B3" w:rsidRPr="006322EB" w:rsidRDefault="00944637" w:rsidP="005D33AE">
      <w:pPr>
        <w:pStyle w:val="Part"/>
      </w:pPr>
      <w:r>
        <w:br w:type="page"/>
      </w:r>
      <w:r w:rsidR="00203E1D" w:rsidRPr="006322EB">
        <w:lastRenderedPageBreak/>
        <w:t>P</w:t>
      </w:r>
      <w:r w:rsidR="00A526B3" w:rsidRPr="006322EB">
        <w:t>art III:</w:t>
      </w:r>
      <w:r w:rsidR="00A526B3" w:rsidRPr="006322EB">
        <w:tab/>
        <w:t xml:space="preserve">Financial </w:t>
      </w:r>
      <w:r w:rsidR="00E06897" w:rsidRPr="006322EB">
        <w:t>conditions</w:t>
      </w:r>
    </w:p>
    <w:p w:rsidR="005D33AE" w:rsidRPr="006322EB" w:rsidRDefault="00E06897" w:rsidP="00AB0CC7">
      <w:pPr>
        <w:pStyle w:val="Heading1"/>
      </w:pPr>
      <w:r w:rsidRPr="006322EB">
        <w:t>Estimated cost</w:t>
      </w:r>
    </w:p>
    <w:p w:rsidR="00A526B3" w:rsidRPr="006322EB" w:rsidRDefault="00942022" w:rsidP="00F32120">
      <w:pPr>
        <w:pStyle w:val="Heading2"/>
      </w:pPr>
      <w:r w:rsidRPr="006322EB">
        <w:t>Manpower cost</w:t>
      </w:r>
    </w:p>
    <w:tbl>
      <w:tblPr>
        <w:tblW w:w="8897" w:type="dxa"/>
        <w:tblLook w:val="00A0"/>
      </w:tblPr>
      <w:tblGrid>
        <w:gridCol w:w="4928"/>
        <w:gridCol w:w="1276"/>
        <w:gridCol w:w="1275"/>
        <w:gridCol w:w="1418"/>
      </w:tblGrid>
      <w:tr w:rsidR="00705310" w:rsidRPr="006322EB" w:rsidTr="00705310">
        <w:trPr>
          <w:trHeight w:val="255"/>
        </w:trPr>
        <w:tc>
          <w:tcPr>
            <w:tcW w:w="4928"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rsidR="00705310" w:rsidRPr="006322EB" w:rsidRDefault="007E2B68" w:rsidP="00A526B3">
            <w:pPr>
              <w:rPr>
                <w:b/>
              </w:rPr>
            </w:pPr>
            <w:r w:rsidRPr="006322EB">
              <w:rPr>
                <w:b/>
              </w:rPr>
              <w:t>Description</w:t>
            </w:r>
          </w:p>
        </w:tc>
        <w:tc>
          <w:tcPr>
            <w:tcW w:w="127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6322EB" w:rsidRDefault="00705310" w:rsidP="00705310">
            <w:pPr>
              <w:jc w:val="center"/>
              <w:rPr>
                <w:b/>
                <w:bCs/>
              </w:rPr>
            </w:pPr>
            <w:r w:rsidRPr="006322EB">
              <w:rPr>
                <w:b/>
                <w:bCs/>
              </w:rPr>
              <w:t>Working days</w:t>
            </w:r>
          </w:p>
        </w:tc>
        <w:tc>
          <w:tcPr>
            <w:tcW w:w="1275"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6322EB" w:rsidRDefault="00705310" w:rsidP="00705310">
            <w:pPr>
              <w:jc w:val="center"/>
              <w:rPr>
                <w:b/>
                <w:bCs/>
              </w:rPr>
            </w:pPr>
            <w:r w:rsidRPr="006322EB">
              <w:rPr>
                <w:b/>
                <w:bCs/>
              </w:rPr>
              <w:t>Rate</w:t>
            </w:r>
            <w:r w:rsidR="00ED1965" w:rsidRPr="006322EB">
              <w:rPr>
                <w:b/>
                <w:bCs/>
              </w:rPr>
              <w:br/>
              <w:t>€/day</w:t>
            </w:r>
          </w:p>
        </w:tc>
        <w:tc>
          <w:tcPr>
            <w:tcW w:w="1418"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6322EB" w:rsidRDefault="00705310" w:rsidP="00705310">
            <w:pPr>
              <w:jc w:val="center"/>
              <w:rPr>
                <w:b/>
                <w:bCs/>
              </w:rPr>
            </w:pPr>
            <w:r w:rsidRPr="006322EB">
              <w:rPr>
                <w:b/>
                <w:bCs/>
              </w:rPr>
              <w:t xml:space="preserve">Total cost </w:t>
            </w:r>
            <w:r w:rsidR="00ED1965" w:rsidRPr="006322EB">
              <w:rPr>
                <w:b/>
                <w:bCs/>
              </w:rPr>
              <w:br/>
            </w:r>
            <w:r w:rsidRPr="006322EB">
              <w:rPr>
                <w:b/>
                <w:bCs/>
              </w:rPr>
              <w:t>€</w:t>
            </w:r>
          </w:p>
        </w:tc>
      </w:tr>
      <w:tr w:rsidR="00705310" w:rsidRPr="006322EB"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6322EB" w:rsidRDefault="00705310" w:rsidP="006739A1">
            <w:r w:rsidRPr="006322EB">
              <w:t>Contracted experts (remunerated)</w:t>
            </w:r>
          </w:p>
        </w:tc>
        <w:tc>
          <w:tcPr>
            <w:tcW w:w="1276" w:type="dxa"/>
            <w:tcBorders>
              <w:top w:val="nil"/>
              <w:left w:val="nil"/>
              <w:bottom w:val="single" w:sz="4" w:space="0" w:color="auto"/>
              <w:right w:val="single" w:sz="4" w:space="0" w:color="auto"/>
            </w:tcBorders>
            <w:noWrap/>
            <w:vAlign w:val="center"/>
          </w:tcPr>
          <w:p w:rsidR="00705310" w:rsidRPr="006322EB" w:rsidRDefault="00B66C20" w:rsidP="00211930">
            <w:pPr>
              <w:tabs>
                <w:tab w:val="clear" w:pos="1418"/>
                <w:tab w:val="decimal" w:pos="742"/>
              </w:tabs>
              <w:jc w:val="right"/>
            </w:pPr>
            <w:r>
              <w:t>121</w:t>
            </w:r>
          </w:p>
        </w:tc>
        <w:tc>
          <w:tcPr>
            <w:tcW w:w="1275" w:type="dxa"/>
            <w:tcBorders>
              <w:top w:val="nil"/>
              <w:left w:val="nil"/>
              <w:bottom w:val="single" w:sz="4" w:space="0" w:color="auto"/>
              <w:right w:val="single" w:sz="4" w:space="0" w:color="auto"/>
            </w:tcBorders>
            <w:noWrap/>
            <w:vAlign w:val="center"/>
          </w:tcPr>
          <w:p w:rsidR="00705310" w:rsidRPr="006322EB" w:rsidRDefault="007234F7" w:rsidP="00705310">
            <w:pPr>
              <w:tabs>
                <w:tab w:val="clear" w:pos="1418"/>
                <w:tab w:val="decimal" w:pos="742"/>
              </w:tabs>
              <w:jc w:val="right"/>
            </w:pPr>
            <w:r>
              <w:t>600</w:t>
            </w:r>
          </w:p>
        </w:tc>
        <w:tc>
          <w:tcPr>
            <w:tcW w:w="1418" w:type="dxa"/>
            <w:tcBorders>
              <w:top w:val="nil"/>
              <w:left w:val="nil"/>
              <w:bottom w:val="single" w:sz="4" w:space="0" w:color="auto"/>
              <w:right w:val="single" w:sz="4" w:space="0" w:color="auto"/>
            </w:tcBorders>
            <w:noWrap/>
            <w:vAlign w:val="center"/>
          </w:tcPr>
          <w:p w:rsidR="00705310" w:rsidRPr="006322EB" w:rsidRDefault="00B66C20" w:rsidP="00211930">
            <w:pPr>
              <w:tabs>
                <w:tab w:val="clear" w:pos="1418"/>
                <w:tab w:val="decimal" w:pos="742"/>
              </w:tabs>
              <w:jc w:val="right"/>
            </w:pPr>
            <w:r>
              <w:t>72 600</w:t>
            </w:r>
          </w:p>
        </w:tc>
      </w:tr>
      <w:tr w:rsidR="00705310" w:rsidRPr="006322EB"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6322EB" w:rsidRDefault="00705310" w:rsidP="00B66C20">
            <w:r w:rsidRPr="006322EB">
              <w:t>Contracted experts (voluntary</w:t>
            </w:r>
            <w:r w:rsidR="00B4638C" w:rsidRPr="006322EB">
              <w:t xml:space="preserve">, </w:t>
            </w:r>
            <w:r w:rsidR="00B66C20">
              <w:t>2</w:t>
            </w:r>
            <w:r w:rsidR="00944637">
              <w:t>0</w:t>
            </w:r>
            <w:r w:rsidR="00B4638C" w:rsidRPr="006322EB">
              <w:t>% from total</w:t>
            </w:r>
            <w:r w:rsidRPr="006322EB">
              <w:t>)</w:t>
            </w:r>
          </w:p>
        </w:tc>
        <w:tc>
          <w:tcPr>
            <w:tcW w:w="1276" w:type="dxa"/>
            <w:tcBorders>
              <w:top w:val="nil"/>
              <w:left w:val="nil"/>
              <w:bottom w:val="single" w:sz="4" w:space="0" w:color="auto"/>
              <w:right w:val="single" w:sz="4" w:space="0" w:color="auto"/>
            </w:tcBorders>
            <w:noWrap/>
            <w:vAlign w:val="center"/>
          </w:tcPr>
          <w:p w:rsidR="00705310" w:rsidRPr="006322EB" w:rsidRDefault="00B66C20" w:rsidP="00211930">
            <w:pPr>
              <w:tabs>
                <w:tab w:val="clear" w:pos="1418"/>
                <w:tab w:val="decimal" w:pos="742"/>
              </w:tabs>
              <w:jc w:val="right"/>
            </w:pPr>
            <w:r>
              <w:t>30</w:t>
            </w:r>
          </w:p>
        </w:tc>
        <w:tc>
          <w:tcPr>
            <w:tcW w:w="1275" w:type="dxa"/>
            <w:tcBorders>
              <w:top w:val="nil"/>
              <w:left w:val="nil"/>
              <w:bottom w:val="single" w:sz="4" w:space="0" w:color="auto"/>
              <w:right w:val="single" w:sz="4" w:space="0" w:color="auto"/>
            </w:tcBorders>
            <w:noWrap/>
            <w:vAlign w:val="center"/>
          </w:tcPr>
          <w:p w:rsidR="00705310" w:rsidRPr="006322EB" w:rsidRDefault="002F54D6" w:rsidP="00211930">
            <w:pPr>
              <w:tabs>
                <w:tab w:val="clear" w:pos="1418"/>
                <w:tab w:val="decimal" w:pos="742"/>
              </w:tabs>
              <w:jc w:val="right"/>
            </w:pPr>
            <w:r w:rsidRPr="006322EB">
              <w:t>0</w:t>
            </w:r>
          </w:p>
        </w:tc>
        <w:tc>
          <w:tcPr>
            <w:tcW w:w="1418" w:type="dxa"/>
            <w:tcBorders>
              <w:top w:val="nil"/>
              <w:left w:val="nil"/>
              <w:bottom w:val="single" w:sz="4" w:space="0" w:color="auto"/>
              <w:right w:val="single" w:sz="4" w:space="0" w:color="auto"/>
            </w:tcBorders>
            <w:noWrap/>
            <w:vAlign w:val="center"/>
          </w:tcPr>
          <w:p w:rsidR="00705310" w:rsidRPr="006322EB" w:rsidRDefault="002F54D6" w:rsidP="00211930">
            <w:pPr>
              <w:tabs>
                <w:tab w:val="clear" w:pos="1418"/>
                <w:tab w:val="decimal" w:pos="742"/>
              </w:tabs>
              <w:jc w:val="right"/>
            </w:pPr>
            <w:r w:rsidRPr="006322EB">
              <w:t>0</w:t>
            </w:r>
          </w:p>
        </w:tc>
      </w:tr>
      <w:tr w:rsidR="00705310" w:rsidRPr="006322EB"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6322EB" w:rsidRDefault="00705310" w:rsidP="007B563E">
            <w:r w:rsidRPr="006322EB">
              <w:t>CTI</w:t>
            </w:r>
            <w:r w:rsidR="007B563E" w:rsidRPr="006322EB">
              <w:t xml:space="preserve"> staff from ETSI budget</w:t>
            </w:r>
          </w:p>
        </w:tc>
        <w:tc>
          <w:tcPr>
            <w:tcW w:w="1276" w:type="dxa"/>
            <w:tcBorders>
              <w:top w:val="nil"/>
              <w:left w:val="nil"/>
              <w:bottom w:val="single" w:sz="4" w:space="0" w:color="auto"/>
              <w:right w:val="single" w:sz="4" w:space="0" w:color="auto"/>
            </w:tcBorders>
            <w:noWrap/>
            <w:vAlign w:val="center"/>
          </w:tcPr>
          <w:p w:rsidR="00705310" w:rsidRPr="006322EB" w:rsidRDefault="002F54D6" w:rsidP="00211930">
            <w:pPr>
              <w:tabs>
                <w:tab w:val="clear" w:pos="1418"/>
                <w:tab w:val="decimal" w:pos="742"/>
              </w:tabs>
              <w:jc w:val="right"/>
            </w:pPr>
            <w:r w:rsidRPr="006322EB">
              <w:t>10</w:t>
            </w:r>
          </w:p>
        </w:tc>
        <w:tc>
          <w:tcPr>
            <w:tcW w:w="1275" w:type="dxa"/>
            <w:tcBorders>
              <w:top w:val="nil"/>
              <w:left w:val="nil"/>
              <w:bottom w:val="single" w:sz="4" w:space="0" w:color="auto"/>
              <w:right w:val="single" w:sz="4" w:space="0" w:color="auto"/>
            </w:tcBorders>
            <w:noWrap/>
            <w:vAlign w:val="center"/>
          </w:tcPr>
          <w:p w:rsidR="00705310" w:rsidRPr="006322EB" w:rsidRDefault="007234F7" w:rsidP="00211930">
            <w:pPr>
              <w:tabs>
                <w:tab w:val="clear" w:pos="1418"/>
                <w:tab w:val="decimal" w:pos="742"/>
              </w:tabs>
              <w:jc w:val="right"/>
            </w:pPr>
            <w:r>
              <w:t>6</w:t>
            </w:r>
            <w:r w:rsidR="00D84DDC">
              <w:t>0</w:t>
            </w:r>
            <w:r>
              <w:t>0</w:t>
            </w:r>
          </w:p>
        </w:tc>
        <w:tc>
          <w:tcPr>
            <w:tcW w:w="1418" w:type="dxa"/>
            <w:tcBorders>
              <w:top w:val="nil"/>
              <w:left w:val="nil"/>
              <w:bottom w:val="single" w:sz="4" w:space="0" w:color="auto"/>
              <w:right w:val="single" w:sz="4" w:space="0" w:color="auto"/>
            </w:tcBorders>
            <w:noWrap/>
            <w:vAlign w:val="center"/>
          </w:tcPr>
          <w:p w:rsidR="00705310" w:rsidRPr="006322EB" w:rsidRDefault="007234F7" w:rsidP="00211930">
            <w:pPr>
              <w:tabs>
                <w:tab w:val="clear" w:pos="1418"/>
                <w:tab w:val="decimal" w:pos="742"/>
              </w:tabs>
              <w:jc w:val="right"/>
            </w:pPr>
            <w:r>
              <w:t>6</w:t>
            </w:r>
            <w:r w:rsidR="005849CB">
              <w:t xml:space="preserve"> </w:t>
            </w:r>
            <w:r w:rsidR="00D84DDC">
              <w:t>0</w:t>
            </w:r>
            <w:r>
              <w:t>00</w:t>
            </w:r>
          </w:p>
        </w:tc>
      </w:tr>
      <w:tr w:rsidR="00705310" w:rsidRPr="006322EB"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6322EB" w:rsidRDefault="007B563E" w:rsidP="006739A1">
            <w:r w:rsidRPr="006322EB">
              <w:t xml:space="preserve">CTI staff </w:t>
            </w:r>
            <w:r w:rsidR="00705310" w:rsidRPr="006322EB">
              <w:t>(voluntary)</w:t>
            </w:r>
          </w:p>
        </w:tc>
        <w:tc>
          <w:tcPr>
            <w:tcW w:w="1276" w:type="dxa"/>
            <w:tcBorders>
              <w:top w:val="nil"/>
              <w:left w:val="nil"/>
              <w:bottom w:val="single" w:sz="4" w:space="0" w:color="auto"/>
              <w:right w:val="single" w:sz="4" w:space="0" w:color="auto"/>
            </w:tcBorders>
            <w:noWrap/>
            <w:vAlign w:val="center"/>
          </w:tcPr>
          <w:p w:rsidR="00705310" w:rsidRPr="006322EB" w:rsidRDefault="002F54D6" w:rsidP="00211930">
            <w:pPr>
              <w:tabs>
                <w:tab w:val="clear" w:pos="1418"/>
                <w:tab w:val="decimal" w:pos="742"/>
              </w:tabs>
              <w:jc w:val="right"/>
            </w:pPr>
            <w:r w:rsidRPr="006322EB">
              <w:t>10</w:t>
            </w:r>
          </w:p>
        </w:tc>
        <w:tc>
          <w:tcPr>
            <w:tcW w:w="1275" w:type="dxa"/>
            <w:tcBorders>
              <w:top w:val="nil"/>
              <w:left w:val="nil"/>
              <w:bottom w:val="single" w:sz="4" w:space="0" w:color="auto"/>
              <w:right w:val="single" w:sz="4" w:space="0" w:color="auto"/>
            </w:tcBorders>
            <w:noWrap/>
            <w:vAlign w:val="center"/>
          </w:tcPr>
          <w:p w:rsidR="00705310" w:rsidRPr="006322EB" w:rsidRDefault="002F54D6" w:rsidP="00211930">
            <w:pPr>
              <w:tabs>
                <w:tab w:val="clear" w:pos="1418"/>
                <w:tab w:val="decimal" w:pos="742"/>
              </w:tabs>
              <w:jc w:val="right"/>
            </w:pPr>
            <w:r w:rsidRPr="006322EB">
              <w:t>0</w:t>
            </w:r>
          </w:p>
        </w:tc>
        <w:tc>
          <w:tcPr>
            <w:tcW w:w="1418" w:type="dxa"/>
            <w:tcBorders>
              <w:top w:val="nil"/>
              <w:left w:val="nil"/>
              <w:bottom w:val="single" w:sz="4" w:space="0" w:color="auto"/>
              <w:right w:val="single" w:sz="4" w:space="0" w:color="auto"/>
            </w:tcBorders>
            <w:noWrap/>
            <w:vAlign w:val="center"/>
          </w:tcPr>
          <w:p w:rsidR="00705310" w:rsidRPr="006322EB" w:rsidRDefault="002F54D6" w:rsidP="00211930">
            <w:pPr>
              <w:tabs>
                <w:tab w:val="clear" w:pos="1418"/>
                <w:tab w:val="decimal" w:pos="742"/>
              </w:tabs>
              <w:jc w:val="right"/>
            </w:pPr>
            <w:r w:rsidRPr="006322EB">
              <w:t>0</w:t>
            </w:r>
          </w:p>
        </w:tc>
      </w:tr>
      <w:tr w:rsidR="00B66C20" w:rsidRPr="006322EB"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B66C20" w:rsidRPr="006322EB" w:rsidRDefault="00B66C20" w:rsidP="006739A1">
            <w:r>
              <w:t>Other experts (voluntary)</w:t>
            </w:r>
          </w:p>
        </w:tc>
        <w:tc>
          <w:tcPr>
            <w:tcW w:w="1276" w:type="dxa"/>
            <w:tcBorders>
              <w:top w:val="nil"/>
              <w:left w:val="nil"/>
              <w:bottom w:val="single" w:sz="4" w:space="0" w:color="auto"/>
              <w:right w:val="single" w:sz="4" w:space="0" w:color="auto"/>
            </w:tcBorders>
            <w:noWrap/>
            <w:vAlign w:val="center"/>
          </w:tcPr>
          <w:p w:rsidR="00B66C20" w:rsidRPr="006322EB" w:rsidRDefault="00B66C20" w:rsidP="00211930">
            <w:pPr>
              <w:tabs>
                <w:tab w:val="clear" w:pos="1418"/>
                <w:tab w:val="decimal" w:pos="742"/>
              </w:tabs>
              <w:jc w:val="right"/>
            </w:pPr>
            <w:r>
              <w:t>40</w:t>
            </w:r>
          </w:p>
        </w:tc>
        <w:tc>
          <w:tcPr>
            <w:tcW w:w="1275" w:type="dxa"/>
            <w:tcBorders>
              <w:top w:val="nil"/>
              <w:left w:val="nil"/>
              <w:bottom w:val="single" w:sz="4" w:space="0" w:color="auto"/>
              <w:right w:val="single" w:sz="4" w:space="0" w:color="auto"/>
            </w:tcBorders>
            <w:noWrap/>
            <w:vAlign w:val="center"/>
          </w:tcPr>
          <w:p w:rsidR="00B66C20" w:rsidRPr="006322EB" w:rsidRDefault="00B66C20" w:rsidP="00211930">
            <w:pPr>
              <w:tabs>
                <w:tab w:val="clear" w:pos="1418"/>
                <w:tab w:val="decimal" w:pos="742"/>
              </w:tabs>
              <w:jc w:val="right"/>
            </w:pPr>
            <w:r>
              <w:t>0</w:t>
            </w:r>
          </w:p>
        </w:tc>
        <w:tc>
          <w:tcPr>
            <w:tcW w:w="1418" w:type="dxa"/>
            <w:tcBorders>
              <w:top w:val="nil"/>
              <w:left w:val="nil"/>
              <w:bottom w:val="single" w:sz="4" w:space="0" w:color="auto"/>
              <w:right w:val="single" w:sz="4" w:space="0" w:color="auto"/>
            </w:tcBorders>
            <w:noWrap/>
            <w:vAlign w:val="center"/>
          </w:tcPr>
          <w:p w:rsidR="00B66C20" w:rsidRPr="006322EB" w:rsidRDefault="00B66C20" w:rsidP="00211930">
            <w:pPr>
              <w:tabs>
                <w:tab w:val="clear" w:pos="1418"/>
                <w:tab w:val="decimal" w:pos="742"/>
              </w:tabs>
              <w:jc w:val="right"/>
            </w:pPr>
            <w:r>
              <w:t>0</w:t>
            </w:r>
          </w:p>
        </w:tc>
      </w:tr>
      <w:tr w:rsidR="00B66C20" w:rsidRPr="006322EB" w:rsidTr="00705310">
        <w:trPr>
          <w:trHeight w:val="255"/>
        </w:trPr>
        <w:tc>
          <w:tcPr>
            <w:tcW w:w="4928"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rsidR="00B66C20" w:rsidRPr="006322EB" w:rsidRDefault="00B66C20" w:rsidP="006739A1">
            <w:pPr>
              <w:rPr>
                <w:b/>
                <w:bCs/>
              </w:rPr>
            </w:pPr>
            <w:r w:rsidRPr="006322EB">
              <w:rPr>
                <w:b/>
                <w:bCs/>
              </w:rPr>
              <w:t>Total manpower cost</w:t>
            </w:r>
          </w:p>
        </w:tc>
        <w:tc>
          <w:tcPr>
            <w:tcW w:w="1276"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B66C20" w:rsidRPr="006322EB" w:rsidRDefault="00B66C20" w:rsidP="00AE4A23">
            <w:pPr>
              <w:tabs>
                <w:tab w:val="clear" w:pos="1418"/>
                <w:tab w:val="decimal" w:pos="742"/>
              </w:tabs>
              <w:jc w:val="right"/>
              <w:rPr>
                <w:b/>
              </w:rPr>
            </w:pPr>
            <w:r>
              <w:rPr>
                <w:b/>
              </w:rPr>
              <w:t>211</w:t>
            </w:r>
          </w:p>
        </w:tc>
        <w:tc>
          <w:tcPr>
            <w:tcW w:w="1275"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B66C20" w:rsidRPr="006322EB" w:rsidRDefault="00B66C20" w:rsidP="00211930">
            <w:pPr>
              <w:tabs>
                <w:tab w:val="clear" w:pos="1418"/>
                <w:tab w:val="decimal" w:pos="742"/>
              </w:tabs>
              <w:jc w:val="right"/>
              <w:rPr>
                <w:b/>
              </w:rPr>
            </w:pPr>
          </w:p>
        </w:tc>
        <w:tc>
          <w:tcPr>
            <w:tcW w:w="1418"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B66C20" w:rsidRPr="006322EB" w:rsidRDefault="00B66C20" w:rsidP="00211930">
            <w:pPr>
              <w:tabs>
                <w:tab w:val="clear" w:pos="1418"/>
                <w:tab w:val="decimal" w:pos="742"/>
                <w:tab w:val="decimal" w:pos="801"/>
              </w:tabs>
              <w:jc w:val="right"/>
              <w:rPr>
                <w:b/>
              </w:rPr>
            </w:pPr>
            <w:r>
              <w:rPr>
                <w:b/>
              </w:rPr>
              <w:t>78 600</w:t>
            </w:r>
          </w:p>
        </w:tc>
      </w:tr>
    </w:tbl>
    <w:p w:rsidR="00A526B3" w:rsidRPr="006322EB" w:rsidRDefault="00A526B3" w:rsidP="00A526B3"/>
    <w:p w:rsidR="00A526B3" w:rsidRPr="006322EB" w:rsidRDefault="00A526B3" w:rsidP="00A526B3"/>
    <w:p w:rsidR="00A526B3" w:rsidRPr="006322EB" w:rsidRDefault="00A526B3" w:rsidP="00F32120">
      <w:pPr>
        <w:pStyle w:val="Heading2"/>
      </w:pPr>
      <w:bookmarkStart w:id="8" w:name="_Toc229392253"/>
      <w:smartTag w:uri="urn:schemas-microsoft-com:office:smarttags" w:element="country-region">
        <w:r w:rsidRPr="006322EB">
          <w:t>Travel</w:t>
        </w:r>
      </w:smartTag>
      <w:r w:rsidRPr="006322EB">
        <w:t xml:space="preserve"> Costs</w:t>
      </w:r>
      <w:bookmarkEnd w:id="8"/>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7479"/>
        <w:gridCol w:w="1418"/>
      </w:tblGrid>
      <w:tr w:rsidR="00705310" w:rsidRPr="006322EB" w:rsidTr="007B563E">
        <w:trPr>
          <w:trHeight w:val="255"/>
        </w:trPr>
        <w:tc>
          <w:tcPr>
            <w:tcW w:w="7479" w:type="dxa"/>
            <w:shd w:val="clear" w:color="auto" w:fill="B8CCE4"/>
            <w:noWrap/>
            <w:tcMar>
              <w:top w:w="57" w:type="dxa"/>
              <w:bottom w:w="57" w:type="dxa"/>
            </w:tcMar>
            <w:vAlign w:val="center"/>
          </w:tcPr>
          <w:p w:rsidR="00705310" w:rsidRPr="006322EB" w:rsidRDefault="00705310" w:rsidP="00A526B3">
            <w:pPr>
              <w:rPr>
                <w:b/>
                <w:bCs/>
              </w:rPr>
            </w:pPr>
            <w:r w:rsidRPr="006322EB">
              <w:rPr>
                <w:b/>
                <w:bCs/>
              </w:rPr>
              <w:t>Description</w:t>
            </w:r>
          </w:p>
        </w:tc>
        <w:tc>
          <w:tcPr>
            <w:tcW w:w="1418" w:type="dxa"/>
            <w:shd w:val="clear" w:color="auto" w:fill="B8CCE4"/>
            <w:noWrap/>
            <w:tcMar>
              <w:top w:w="57" w:type="dxa"/>
              <w:bottom w:w="57" w:type="dxa"/>
            </w:tcMar>
            <w:vAlign w:val="center"/>
          </w:tcPr>
          <w:p w:rsidR="00705310" w:rsidRPr="006322EB" w:rsidRDefault="007B563E" w:rsidP="007B563E">
            <w:pPr>
              <w:jc w:val="center"/>
              <w:rPr>
                <w:b/>
                <w:bCs/>
              </w:rPr>
            </w:pPr>
            <w:r w:rsidRPr="006322EB">
              <w:rPr>
                <w:b/>
                <w:bCs/>
              </w:rPr>
              <w:t>C</w:t>
            </w:r>
            <w:r w:rsidR="00705310" w:rsidRPr="006322EB">
              <w:rPr>
                <w:b/>
                <w:bCs/>
              </w:rPr>
              <w:t xml:space="preserve">ost </w:t>
            </w:r>
            <w:r w:rsidRPr="006322EB">
              <w:rPr>
                <w:b/>
                <w:bCs/>
              </w:rPr>
              <w:t>estimate</w:t>
            </w:r>
          </w:p>
        </w:tc>
      </w:tr>
      <w:tr w:rsidR="00705310" w:rsidRPr="006322EB" w:rsidTr="007B563E">
        <w:trPr>
          <w:trHeight w:val="255"/>
        </w:trPr>
        <w:tc>
          <w:tcPr>
            <w:tcW w:w="7479" w:type="dxa"/>
            <w:noWrap/>
            <w:vAlign w:val="center"/>
          </w:tcPr>
          <w:p w:rsidR="00705310" w:rsidRPr="006322EB" w:rsidRDefault="00D03171" w:rsidP="00A526B3">
            <w:r w:rsidRPr="006322EB">
              <w:t xml:space="preserve">Reference TB, Steering Group meetings (2 travels within </w:t>
            </w:r>
            <w:smartTag w:uri="urn:schemas-microsoft-com:office:smarttags" w:element="place">
              <w:r w:rsidRPr="006322EB">
                <w:t>Europe</w:t>
              </w:r>
            </w:smartTag>
            <w:r w:rsidRPr="006322EB">
              <w:t>)</w:t>
            </w:r>
          </w:p>
        </w:tc>
        <w:tc>
          <w:tcPr>
            <w:tcW w:w="1418" w:type="dxa"/>
            <w:noWrap/>
            <w:vAlign w:val="center"/>
          </w:tcPr>
          <w:p w:rsidR="00705310" w:rsidRPr="006322EB" w:rsidRDefault="007234F7" w:rsidP="00705310">
            <w:pPr>
              <w:jc w:val="right"/>
            </w:pPr>
            <w:r>
              <w:t>2</w:t>
            </w:r>
            <w:r w:rsidR="00944637">
              <w:t xml:space="preserve"> </w:t>
            </w:r>
            <w:r>
              <w:t>000</w:t>
            </w:r>
            <w:r w:rsidRPr="006322EB">
              <w:t xml:space="preserve"> </w:t>
            </w:r>
            <w:r w:rsidR="00D03171" w:rsidRPr="006322EB">
              <w:t>€</w:t>
            </w:r>
          </w:p>
        </w:tc>
      </w:tr>
      <w:tr w:rsidR="00705310" w:rsidRPr="006322EB" w:rsidTr="007B563E">
        <w:trPr>
          <w:trHeight w:val="255"/>
        </w:trPr>
        <w:tc>
          <w:tcPr>
            <w:tcW w:w="7479" w:type="dxa"/>
            <w:noWrap/>
            <w:vAlign w:val="center"/>
          </w:tcPr>
          <w:p w:rsidR="00705310" w:rsidRPr="006322EB" w:rsidRDefault="00D03171" w:rsidP="00D03171">
            <w:r w:rsidRPr="006322EB">
              <w:t xml:space="preserve">Presentation at the ETSI User Conference on Advanced Automated Testing 2013 (1 travel within </w:t>
            </w:r>
            <w:smartTag w:uri="urn:schemas-microsoft-com:office:smarttags" w:element="place">
              <w:r w:rsidRPr="006322EB">
                <w:t>Europe</w:t>
              </w:r>
            </w:smartTag>
            <w:r w:rsidRPr="006322EB">
              <w:t>)</w:t>
            </w:r>
          </w:p>
        </w:tc>
        <w:tc>
          <w:tcPr>
            <w:tcW w:w="1418" w:type="dxa"/>
            <w:noWrap/>
            <w:vAlign w:val="center"/>
          </w:tcPr>
          <w:p w:rsidR="00705310" w:rsidRPr="006322EB" w:rsidRDefault="007234F7" w:rsidP="00705310">
            <w:pPr>
              <w:jc w:val="right"/>
            </w:pPr>
            <w:r>
              <w:t>1</w:t>
            </w:r>
            <w:r w:rsidR="00944637">
              <w:t xml:space="preserve"> </w:t>
            </w:r>
            <w:r>
              <w:t>000</w:t>
            </w:r>
            <w:r w:rsidRPr="006322EB">
              <w:t xml:space="preserve"> </w:t>
            </w:r>
            <w:r w:rsidR="00D03171" w:rsidRPr="006322EB">
              <w:t>€</w:t>
            </w:r>
          </w:p>
        </w:tc>
      </w:tr>
      <w:tr w:rsidR="00705310" w:rsidRPr="006322EB" w:rsidTr="007B563E">
        <w:trPr>
          <w:trHeight w:val="255"/>
        </w:trPr>
        <w:tc>
          <w:tcPr>
            <w:tcW w:w="7479" w:type="dxa"/>
            <w:shd w:val="clear" w:color="auto" w:fill="B8CCE4"/>
            <w:noWrap/>
            <w:tcMar>
              <w:top w:w="57" w:type="dxa"/>
              <w:bottom w:w="57" w:type="dxa"/>
            </w:tcMar>
            <w:vAlign w:val="center"/>
          </w:tcPr>
          <w:p w:rsidR="00705310" w:rsidRPr="006322EB" w:rsidRDefault="00705310" w:rsidP="00B02BE6">
            <w:pPr>
              <w:rPr>
                <w:b/>
                <w:bCs/>
              </w:rPr>
            </w:pPr>
            <w:r w:rsidRPr="006322EB">
              <w:rPr>
                <w:b/>
                <w:bCs/>
              </w:rPr>
              <w:t>Total cost</w:t>
            </w:r>
          </w:p>
        </w:tc>
        <w:tc>
          <w:tcPr>
            <w:tcW w:w="1418" w:type="dxa"/>
            <w:shd w:val="clear" w:color="auto" w:fill="B8CCE4"/>
            <w:noWrap/>
            <w:tcMar>
              <w:top w:w="57" w:type="dxa"/>
              <w:bottom w:w="57" w:type="dxa"/>
            </w:tcMar>
            <w:vAlign w:val="center"/>
          </w:tcPr>
          <w:p w:rsidR="00705310" w:rsidRPr="006322EB" w:rsidRDefault="007234F7" w:rsidP="00705310">
            <w:pPr>
              <w:jc w:val="right"/>
              <w:rPr>
                <w:b/>
                <w:bCs/>
              </w:rPr>
            </w:pPr>
            <w:r>
              <w:rPr>
                <w:b/>
                <w:bCs/>
              </w:rPr>
              <w:t>3</w:t>
            </w:r>
            <w:r w:rsidR="00944637">
              <w:rPr>
                <w:b/>
                <w:bCs/>
              </w:rPr>
              <w:t xml:space="preserve"> </w:t>
            </w:r>
            <w:r>
              <w:rPr>
                <w:b/>
                <w:bCs/>
              </w:rPr>
              <w:t>000</w:t>
            </w:r>
            <w:r w:rsidRPr="006322EB">
              <w:rPr>
                <w:b/>
                <w:bCs/>
              </w:rPr>
              <w:t xml:space="preserve"> </w:t>
            </w:r>
            <w:r w:rsidR="00D03171" w:rsidRPr="006322EB">
              <w:rPr>
                <w:b/>
                <w:bCs/>
              </w:rPr>
              <w:t>€</w:t>
            </w:r>
          </w:p>
        </w:tc>
      </w:tr>
    </w:tbl>
    <w:p w:rsidR="00A526B3" w:rsidRPr="006322EB" w:rsidRDefault="00A526B3" w:rsidP="00A526B3"/>
    <w:p w:rsidR="00705310" w:rsidRPr="006322EB" w:rsidRDefault="00705310" w:rsidP="00A526B3"/>
    <w:p w:rsidR="00942022" w:rsidRPr="006322EB" w:rsidRDefault="00583F1C" w:rsidP="00942022">
      <w:pPr>
        <w:pStyle w:val="Part"/>
      </w:pPr>
      <w:r w:rsidRPr="006322EB">
        <w:t xml:space="preserve">Part </w:t>
      </w:r>
      <w:r w:rsidR="00942022" w:rsidRPr="006322EB">
        <w:t>I</w:t>
      </w:r>
      <w:r w:rsidRPr="006322EB">
        <w:t>V</w:t>
      </w:r>
      <w:r w:rsidR="00942022" w:rsidRPr="006322EB">
        <w:t>:</w:t>
      </w:r>
      <w:r w:rsidR="00942022" w:rsidRPr="006322EB">
        <w:tab/>
        <w:t>STF performance evaluation</w:t>
      </w:r>
      <w:r w:rsidR="00705310" w:rsidRPr="006322EB">
        <w:t xml:space="preserve"> criteria</w:t>
      </w:r>
    </w:p>
    <w:p w:rsidR="00942022" w:rsidRPr="006322EB" w:rsidRDefault="00615997" w:rsidP="00AB0CC7">
      <w:pPr>
        <w:pStyle w:val="Heading1"/>
      </w:pPr>
      <w:r w:rsidRPr="006322EB">
        <w:t xml:space="preserve">Key </w:t>
      </w:r>
      <w:r w:rsidR="00942022" w:rsidRPr="006322EB">
        <w:t xml:space="preserve">Performance </w:t>
      </w:r>
      <w:r w:rsidRPr="006322EB">
        <w:t>I</w:t>
      </w:r>
      <w:r w:rsidR="00942022" w:rsidRPr="006322EB">
        <w:t>ndicators</w:t>
      </w:r>
    </w:p>
    <w:p w:rsidR="00641694" w:rsidRPr="00641694" w:rsidRDefault="00641694" w:rsidP="005849CB">
      <w:pPr>
        <w:pStyle w:val="B0Bold"/>
      </w:pPr>
      <w:r w:rsidRPr="00641694">
        <w:t>Interests of ETSI and non-ETSI stakeholders</w:t>
      </w:r>
    </w:p>
    <w:p w:rsidR="00641694" w:rsidRDefault="00416F37" w:rsidP="00641694">
      <w:pPr>
        <w:pStyle w:val="B1"/>
      </w:pPr>
      <w:r>
        <w:t>V</w:t>
      </w:r>
      <w:r w:rsidR="00641694">
        <w:t xml:space="preserve">oluntary work of experts </w:t>
      </w:r>
      <w:r>
        <w:t>directly involved in the STF or outside the STF</w:t>
      </w:r>
    </w:p>
    <w:p w:rsidR="00641694" w:rsidRDefault="00416F37" w:rsidP="00641694">
      <w:pPr>
        <w:pStyle w:val="B1"/>
      </w:pPr>
      <w:r>
        <w:t>P</w:t>
      </w:r>
      <w:r w:rsidR="00641694">
        <w:t>resentations to other ETSI TBs</w:t>
      </w:r>
    </w:p>
    <w:p w:rsidR="00641694" w:rsidRDefault="00641694" w:rsidP="00641694">
      <w:pPr>
        <w:pStyle w:val="B1"/>
      </w:pPr>
      <w:r>
        <w:t>Contributions received from other ETSI TBs</w:t>
      </w:r>
    </w:p>
    <w:p w:rsidR="00641694" w:rsidRDefault="00641694" w:rsidP="00641694">
      <w:pPr>
        <w:pStyle w:val="B1"/>
      </w:pPr>
      <w:r>
        <w:t xml:space="preserve">Contributions presented to </w:t>
      </w:r>
      <w:r w:rsidR="00416F37">
        <w:t>TB MTS</w:t>
      </w:r>
      <w:r>
        <w:t xml:space="preserve"> meetings (number, type, comments received)</w:t>
      </w:r>
    </w:p>
    <w:p w:rsidR="00641694" w:rsidRDefault="00641694" w:rsidP="00641694">
      <w:pPr>
        <w:pStyle w:val="B1"/>
      </w:pPr>
      <w:r>
        <w:t>Presentations in workshops, conferences, stakeholder meetings</w:t>
      </w:r>
      <w:r w:rsidR="00416F37">
        <w:t xml:space="preserve"> (outside ETSI)</w:t>
      </w:r>
    </w:p>
    <w:p w:rsidR="00641694" w:rsidRDefault="00641694" w:rsidP="00641694">
      <w:pPr>
        <w:pStyle w:val="B1"/>
      </w:pPr>
      <w:r>
        <w:t xml:space="preserve">Comments received on drafts (e.g. </w:t>
      </w:r>
      <w:r w:rsidR="00416F37">
        <w:t>from personal communication</w:t>
      </w:r>
      <w:r>
        <w:t>, mailing lists, etc.)</w:t>
      </w:r>
    </w:p>
    <w:p w:rsidR="005849CB" w:rsidRPr="006322EB" w:rsidRDefault="005849CB" w:rsidP="005849CB">
      <w:pPr>
        <w:pStyle w:val="B1"/>
      </w:pPr>
      <w:r w:rsidRPr="006322EB">
        <w:t>Potential interest of new members to join ETSI</w:t>
      </w:r>
    </w:p>
    <w:p w:rsidR="005849CB" w:rsidRPr="006322EB" w:rsidRDefault="005849CB" w:rsidP="005849CB">
      <w:pPr>
        <w:pStyle w:val="B1"/>
      </w:pPr>
      <w:r w:rsidRPr="006322EB">
        <w:t xml:space="preserve">Liaison to identify requirements and raise awareness on ETSI deliverables </w:t>
      </w:r>
    </w:p>
    <w:p w:rsidR="005849CB" w:rsidRPr="006322EB" w:rsidRDefault="005849CB" w:rsidP="00641694">
      <w:pPr>
        <w:pStyle w:val="B1"/>
      </w:pPr>
    </w:p>
    <w:p w:rsidR="00A65393" w:rsidRDefault="00A65393" w:rsidP="001C0CBC"/>
    <w:p w:rsidR="00641694" w:rsidRPr="00641694" w:rsidRDefault="00641694" w:rsidP="005849CB">
      <w:pPr>
        <w:pStyle w:val="B0Bold"/>
      </w:pPr>
      <w:r w:rsidRPr="00641694">
        <w:t>Quality of the STF results</w:t>
      </w:r>
    </w:p>
    <w:p w:rsidR="00416F37" w:rsidRDefault="00416F37" w:rsidP="00641694">
      <w:pPr>
        <w:pStyle w:val="B1"/>
      </w:pPr>
      <w:r>
        <w:t>Availability of a TDL reference implementation featuring major TDL concepts</w:t>
      </w:r>
    </w:p>
    <w:p w:rsidR="00416F37" w:rsidRDefault="00416F37" w:rsidP="00416F37">
      <w:pPr>
        <w:pStyle w:val="B1"/>
      </w:pPr>
      <w:r w:rsidRPr="00416F37">
        <w:t>Application of the ETSI drafting rules</w:t>
      </w:r>
    </w:p>
    <w:p w:rsidR="00641694" w:rsidRDefault="00641694" w:rsidP="00641694">
      <w:pPr>
        <w:pStyle w:val="B1"/>
      </w:pPr>
      <w:r>
        <w:t>Approval of deliverables according to schedule</w:t>
      </w:r>
    </w:p>
    <w:p w:rsidR="00641694" w:rsidRDefault="00641694" w:rsidP="00641694">
      <w:pPr>
        <w:pStyle w:val="B1"/>
      </w:pPr>
      <w:r>
        <w:t>Respect of time scale, with reference to start/end dates in the approved ToR</w:t>
      </w:r>
    </w:p>
    <w:p w:rsidR="00641694" w:rsidRDefault="00641694" w:rsidP="001C0CBC"/>
    <w:p w:rsidR="005849CB" w:rsidRPr="006322EB" w:rsidRDefault="005849CB" w:rsidP="005849CB">
      <w:r w:rsidRPr="006322EB">
        <w:t xml:space="preserve">In the course of the </w:t>
      </w:r>
      <w:r>
        <w:t>project</w:t>
      </w:r>
      <w:r w:rsidRPr="006322EB">
        <w:t xml:space="preserve">, the STF </w:t>
      </w:r>
      <w:r>
        <w:t>l</w:t>
      </w:r>
      <w:r w:rsidRPr="006322EB">
        <w:t xml:space="preserve">ead will collect the relevant </w:t>
      </w:r>
      <w:r>
        <w:t>data</w:t>
      </w:r>
      <w:r w:rsidRPr="006322EB">
        <w:t xml:space="preserve"> necessary to </w:t>
      </w:r>
      <w:r>
        <w:t>calculate</w:t>
      </w:r>
      <w:r w:rsidRPr="006322EB">
        <w:t xml:space="preserve"> the performance indicators</w:t>
      </w:r>
      <w:r>
        <w:t xml:space="preserve"> used to evaluate the outcome of the STF</w:t>
      </w:r>
      <w:r w:rsidRPr="006322EB">
        <w:t>.  The result</w:t>
      </w:r>
      <w:r>
        <w:t>s</w:t>
      </w:r>
      <w:r w:rsidRPr="006322EB">
        <w:t xml:space="preserve"> will be presented in the Final Report.</w:t>
      </w:r>
    </w:p>
    <w:p w:rsidR="005849CB" w:rsidRDefault="005849CB" w:rsidP="005849CB"/>
    <w:p w:rsidR="00416F37" w:rsidRDefault="00416F37" w:rsidP="001C0CBC"/>
    <w:p w:rsidR="005849CB" w:rsidRPr="006322EB" w:rsidRDefault="005849CB" w:rsidP="001C0CBC"/>
    <w:p w:rsidR="0007181A" w:rsidRPr="006322EB" w:rsidRDefault="0007181A" w:rsidP="00AB0CC7">
      <w:pPr>
        <w:pStyle w:val="Heading1"/>
      </w:pPr>
      <w:r w:rsidRPr="006322EB">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345"/>
        <w:gridCol w:w="1267"/>
        <w:gridCol w:w="1143"/>
        <w:gridCol w:w="4819"/>
      </w:tblGrid>
      <w:tr w:rsidR="0007181A" w:rsidRPr="006322EB" w:rsidTr="005849CB">
        <w:tc>
          <w:tcPr>
            <w:tcW w:w="606" w:type="dxa"/>
            <w:vAlign w:val="center"/>
          </w:tcPr>
          <w:p w:rsidR="0007181A" w:rsidRPr="006322EB" w:rsidRDefault="0007181A" w:rsidP="00B95033">
            <w:pPr>
              <w:pStyle w:val="TF"/>
              <w:keepNext/>
              <w:tabs>
                <w:tab w:val="left" w:pos="1418"/>
                <w:tab w:val="left" w:pos="4678"/>
                <w:tab w:val="left" w:pos="5954"/>
                <w:tab w:val="left" w:pos="7088"/>
              </w:tabs>
              <w:spacing w:before="0" w:after="0" w:line="240" w:lineRule="auto"/>
              <w:rPr>
                <w:b/>
                <w:bCs/>
              </w:rPr>
            </w:pPr>
          </w:p>
        </w:tc>
        <w:tc>
          <w:tcPr>
            <w:tcW w:w="1345" w:type="dxa"/>
            <w:vAlign w:val="center"/>
          </w:tcPr>
          <w:p w:rsidR="0007181A" w:rsidRPr="006322EB" w:rsidRDefault="0007181A" w:rsidP="00B95033">
            <w:pPr>
              <w:keepNext/>
              <w:keepLines/>
              <w:jc w:val="center"/>
              <w:rPr>
                <w:b/>
                <w:bCs/>
              </w:rPr>
            </w:pPr>
            <w:r w:rsidRPr="006322EB">
              <w:rPr>
                <w:b/>
                <w:bCs/>
              </w:rPr>
              <w:t>Date</w:t>
            </w:r>
          </w:p>
        </w:tc>
        <w:tc>
          <w:tcPr>
            <w:tcW w:w="1267" w:type="dxa"/>
            <w:vAlign w:val="center"/>
          </w:tcPr>
          <w:p w:rsidR="0007181A" w:rsidRPr="006322EB" w:rsidRDefault="0007181A" w:rsidP="00B95033">
            <w:pPr>
              <w:keepNext/>
              <w:keepLines/>
              <w:jc w:val="center"/>
              <w:rPr>
                <w:b/>
                <w:bCs/>
              </w:rPr>
            </w:pPr>
            <w:r w:rsidRPr="006322EB">
              <w:rPr>
                <w:b/>
                <w:bCs/>
              </w:rPr>
              <w:t>Author</w:t>
            </w:r>
          </w:p>
        </w:tc>
        <w:tc>
          <w:tcPr>
            <w:tcW w:w="1143" w:type="dxa"/>
            <w:vAlign w:val="center"/>
          </w:tcPr>
          <w:p w:rsidR="0007181A" w:rsidRPr="006322EB" w:rsidRDefault="0007181A" w:rsidP="00B95033">
            <w:pPr>
              <w:keepNext/>
              <w:keepLines/>
              <w:jc w:val="center"/>
              <w:rPr>
                <w:b/>
                <w:bCs/>
              </w:rPr>
            </w:pPr>
            <w:r w:rsidRPr="006322EB">
              <w:rPr>
                <w:b/>
                <w:bCs/>
              </w:rPr>
              <w:t>Status</w:t>
            </w:r>
          </w:p>
        </w:tc>
        <w:tc>
          <w:tcPr>
            <w:tcW w:w="4819" w:type="dxa"/>
          </w:tcPr>
          <w:p w:rsidR="0007181A" w:rsidRPr="006322EB" w:rsidRDefault="0007181A" w:rsidP="00B95033">
            <w:pPr>
              <w:keepNext/>
              <w:keepLines/>
              <w:rPr>
                <w:b/>
                <w:bCs/>
              </w:rPr>
            </w:pPr>
            <w:r w:rsidRPr="006322EB">
              <w:rPr>
                <w:b/>
                <w:bCs/>
              </w:rPr>
              <w:t>Comments</w:t>
            </w:r>
          </w:p>
        </w:tc>
      </w:tr>
      <w:tr w:rsidR="000C5B6B" w:rsidRPr="006322EB" w:rsidTr="005849CB">
        <w:tc>
          <w:tcPr>
            <w:tcW w:w="606" w:type="dxa"/>
          </w:tcPr>
          <w:p w:rsidR="000C5B6B" w:rsidRPr="006322EB" w:rsidRDefault="000C5B6B" w:rsidP="00211930">
            <w:pPr>
              <w:jc w:val="center"/>
            </w:pPr>
            <w:r w:rsidRPr="006322EB">
              <w:t>0.</w:t>
            </w:r>
            <w:r w:rsidR="00D03171" w:rsidRPr="006322EB">
              <w:t>1</w:t>
            </w:r>
          </w:p>
        </w:tc>
        <w:tc>
          <w:tcPr>
            <w:tcW w:w="1345" w:type="dxa"/>
          </w:tcPr>
          <w:p w:rsidR="000C5B6B" w:rsidRPr="006322EB" w:rsidRDefault="00D03171" w:rsidP="00D03171">
            <w:pPr>
              <w:jc w:val="center"/>
            </w:pPr>
            <w:r w:rsidRPr="006322EB">
              <w:t>10</w:t>
            </w:r>
            <w:r w:rsidR="000C5B6B" w:rsidRPr="006322EB">
              <w:t>-</w:t>
            </w:r>
            <w:r w:rsidRPr="006322EB">
              <w:t>Oct</w:t>
            </w:r>
            <w:r w:rsidR="000C5B6B" w:rsidRPr="006322EB">
              <w:t>-</w:t>
            </w:r>
            <w:r w:rsidRPr="006322EB">
              <w:t>2012</w:t>
            </w:r>
          </w:p>
        </w:tc>
        <w:tc>
          <w:tcPr>
            <w:tcW w:w="1267" w:type="dxa"/>
          </w:tcPr>
          <w:p w:rsidR="000C5B6B" w:rsidRPr="006322EB" w:rsidRDefault="00D03171" w:rsidP="00D03171">
            <w:pPr>
              <w:keepNext/>
              <w:keepLines/>
              <w:jc w:val="center"/>
            </w:pPr>
            <w:r w:rsidRPr="006322EB">
              <w:t>A. Ulrich</w:t>
            </w:r>
          </w:p>
        </w:tc>
        <w:tc>
          <w:tcPr>
            <w:tcW w:w="1143" w:type="dxa"/>
          </w:tcPr>
          <w:p w:rsidR="000C5B6B" w:rsidRPr="006322EB" w:rsidRDefault="00D03171" w:rsidP="0032165A">
            <w:pPr>
              <w:keepNext/>
              <w:keepLines/>
              <w:jc w:val="center"/>
            </w:pPr>
            <w:r w:rsidRPr="006322EB">
              <w:t>initial</w:t>
            </w:r>
          </w:p>
        </w:tc>
        <w:tc>
          <w:tcPr>
            <w:tcW w:w="4819" w:type="dxa"/>
          </w:tcPr>
          <w:p w:rsidR="000C5B6B" w:rsidRPr="006322EB" w:rsidRDefault="00D03171" w:rsidP="00907106">
            <w:pPr>
              <w:keepNext/>
              <w:keepLines/>
              <w:jc w:val="left"/>
            </w:pPr>
            <w:r w:rsidRPr="006322EB">
              <w:t>Creation of document</w:t>
            </w:r>
          </w:p>
        </w:tc>
      </w:tr>
      <w:tr w:rsidR="005849CB" w:rsidRPr="006322EB" w:rsidTr="005849CB">
        <w:tc>
          <w:tcPr>
            <w:tcW w:w="606" w:type="dxa"/>
          </w:tcPr>
          <w:p w:rsidR="005849CB" w:rsidRPr="006322EB" w:rsidRDefault="005849CB" w:rsidP="00C44E88">
            <w:pPr>
              <w:jc w:val="center"/>
            </w:pPr>
            <w:r>
              <w:t>0.</w:t>
            </w:r>
            <w:r w:rsidR="00C44E88">
              <w:t>6</w:t>
            </w:r>
          </w:p>
        </w:tc>
        <w:tc>
          <w:tcPr>
            <w:tcW w:w="1345" w:type="dxa"/>
          </w:tcPr>
          <w:p w:rsidR="005849CB" w:rsidRPr="006322EB" w:rsidRDefault="00C44E88" w:rsidP="00D03171">
            <w:pPr>
              <w:jc w:val="center"/>
            </w:pPr>
            <w:r>
              <w:t>17</w:t>
            </w:r>
            <w:r w:rsidR="005849CB">
              <w:t>-Oct-2012</w:t>
            </w:r>
          </w:p>
        </w:tc>
        <w:tc>
          <w:tcPr>
            <w:tcW w:w="1267" w:type="dxa"/>
          </w:tcPr>
          <w:p w:rsidR="005849CB" w:rsidRPr="006322EB" w:rsidRDefault="005849CB" w:rsidP="00D03171">
            <w:pPr>
              <w:keepNext/>
              <w:keepLines/>
              <w:jc w:val="center"/>
            </w:pPr>
            <w:r>
              <w:t>A. Berrini</w:t>
            </w:r>
          </w:p>
        </w:tc>
        <w:tc>
          <w:tcPr>
            <w:tcW w:w="1143" w:type="dxa"/>
          </w:tcPr>
          <w:p w:rsidR="005849CB" w:rsidRPr="006322EB" w:rsidRDefault="005849CB" w:rsidP="0032165A">
            <w:pPr>
              <w:keepNext/>
              <w:keepLines/>
              <w:jc w:val="center"/>
            </w:pPr>
            <w:r>
              <w:t>For MTS approval</w:t>
            </w:r>
          </w:p>
        </w:tc>
        <w:tc>
          <w:tcPr>
            <w:tcW w:w="4819" w:type="dxa"/>
          </w:tcPr>
          <w:p w:rsidR="005849CB" w:rsidRPr="006322EB" w:rsidRDefault="005849CB" w:rsidP="005849CB">
            <w:pPr>
              <w:keepNext/>
              <w:keepLines/>
              <w:jc w:val="left"/>
            </w:pPr>
            <w:r>
              <w:t>Includes contributions in previous versions and an editorial clean-up.</w:t>
            </w:r>
          </w:p>
        </w:tc>
      </w:tr>
    </w:tbl>
    <w:p w:rsidR="00645150" w:rsidRPr="006322EB" w:rsidRDefault="00645150" w:rsidP="00A65393"/>
    <w:sectPr w:rsidR="00645150" w:rsidRPr="006322EB" w:rsidSect="00C501C8">
      <w:headerReference w:type="default" r:id="rId12"/>
      <w:type w:val="continuous"/>
      <w:pgSz w:w="11907" w:h="16840"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9A" w:rsidRDefault="0073329A">
      <w:r>
        <w:separator/>
      </w:r>
    </w:p>
  </w:endnote>
  <w:endnote w:type="continuationSeparator" w:id="0">
    <w:p w:rsidR="0073329A" w:rsidRDefault="00733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9A" w:rsidRDefault="0073329A">
      <w:r>
        <w:separator/>
      </w:r>
    </w:p>
  </w:footnote>
  <w:footnote w:type="continuationSeparator" w:id="0">
    <w:p w:rsidR="0073329A" w:rsidRDefault="00733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dxa"/>
      <w:jc w:val="right"/>
      <w:tblLook w:val="01E0"/>
    </w:tblPr>
    <w:tblGrid>
      <w:gridCol w:w="5039"/>
    </w:tblGrid>
    <w:tr w:rsidR="0025163F">
      <w:trPr>
        <w:jc w:val="right"/>
      </w:trPr>
      <w:tc>
        <w:tcPr>
          <w:tcW w:w="5039" w:type="dxa"/>
        </w:tcPr>
        <w:p w:rsidR="0025163F" w:rsidRDefault="0025163F" w:rsidP="007234F7">
          <w:pPr>
            <w:pStyle w:val="Header"/>
            <w:jc w:val="right"/>
            <w:rPr>
              <w:b/>
              <w:i/>
              <w:sz w:val="32"/>
            </w:rPr>
          </w:pPr>
          <w:r>
            <w:rPr>
              <w:b/>
              <w:i/>
              <w:sz w:val="32"/>
            </w:rPr>
            <w:t>ToR STF XF</w:t>
          </w:r>
        </w:p>
      </w:tc>
    </w:tr>
    <w:tr w:rsidR="0025163F">
      <w:trPr>
        <w:jc w:val="right"/>
      </w:trPr>
      <w:tc>
        <w:tcPr>
          <w:tcW w:w="5039" w:type="dxa"/>
        </w:tcPr>
        <w:p w:rsidR="0025163F" w:rsidRDefault="0025163F">
          <w:pPr>
            <w:pStyle w:val="Header"/>
            <w:jc w:val="right"/>
          </w:pPr>
          <w:r>
            <w:t xml:space="preserve">page </w:t>
          </w:r>
          <w:r w:rsidR="0055073B">
            <w:rPr>
              <w:lang w:val="fr-FR"/>
            </w:rPr>
            <w:fldChar w:fldCharType="begin"/>
          </w:r>
          <w:r>
            <w:rPr>
              <w:lang w:val="fr-FR"/>
            </w:rPr>
            <w:instrText xml:space="preserve"> PAGE   \* MERGEFORMAT </w:instrText>
          </w:r>
          <w:r w:rsidR="0055073B">
            <w:rPr>
              <w:lang w:val="fr-FR"/>
            </w:rPr>
            <w:fldChar w:fldCharType="separate"/>
          </w:r>
          <w:r w:rsidR="00452A89">
            <w:rPr>
              <w:noProof/>
              <w:lang w:val="fr-FR"/>
            </w:rPr>
            <w:t>2</w:t>
          </w:r>
          <w:r w:rsidR="0055073B">
            <w:rPr>
              <w:lang w:val="fr-FR"/>
            </w:rPr>
            <w:fldChar w:fldCharType="end"/>
          </w:r>
          <w:r>
            <w:rPr>
              <w:lang w:val="fr-FR"/>
            </w:rPr>
            <w:t xml:space="preserve"> of </w:t>
          </w:r>
          <w:fldSimple w:instr=" NUMPAGES   \* MERGEFORMAT ">
            <w:r w:rsidR="00452A89" w:rsidRPr="00452A89">
              <w:rPr>
                <w:noProof/>
                <w:lang w:val="fr-FR"/>
              </w:rPr>
              <w:t>12</w:t>
            </w:r>
          </w:fldSimple>
        </w:p>
      </w:tc>
    </w:tr>
  </w:tbl>
  <w:p w:rsidR="0025163F" w:rsidRDefault="00251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25pt;height:32.25pt" o:bullet="t">
        <v:imagedata r:id="rId1" o:title="art23"/>
      </v:shape>
    </w:pict>
  </w:numPicBullet>
  <w:abstractNum w:abstractNumId="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nsid w:val="3178744D"/>
    <w:multiLevelType w:val="hybridMultilevel"/>
    <w:tmpl w:val="F3D4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C134CDB"/>
    <w:multiLevelType w:val="hybridMultilevel"/>
    <w:tmpl w:val="5A9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nsid w:val="556B3BED"/>
    <w:multiLevelType w:val="hybridMultilevel"/>
    <w:tmpl w:val="8C32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CA6658E"/>
    <w:multiLevelType w:val="hybridMultilevel"/>
    <w:tmpl w:val="E766C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D52C2"/>
    <w:multiLevelType w:val="hybridMultilevel"/>
    <w:tmpl w:val="C4D6E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D42B7"/>
    <w:multiLevelType w:val="hybridMultilevel"/>
    <w:tmpl w:val="3DE4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0"/>
    <w:lvlOverride w:ilvl="0">
      <w:startOverride w:val="1"/>
    </w:lvlOverride>
  </w:num>
  <w:num w:numId="5">
    <w:abstractNumId w:val="7"/>
  </w:num>
  <w:num w:numId="6">
    <w:abstractNumId w:val="5"/>
  </w:num>
  <w:num w:numId="7">
    <w:abstractNumId w:val="9"/>
  </w:num>
  <w:num w:numId="8">
    <w:abstractNumId w:val="13"/>
  </w:num>
  <w:num w:numId="9">
    <w:abstractNumId w:val="8"/>
  </w:num>
  <w:num w:numId="10">
    <w:abstractNumId w:val="1"/>
  </w:num>
  <w:num w:numId="11">
    <w:abstractNumId w:val="1"/>
  </w:num>
  <w:num w:numId="12">
    <w:abstractNumId w:val="0"/>
  </w:num>
  <w:num w:numId="13">
    <w:abstractNumId w:val="2"/>
  </w:num>
  <w:num w:numId="14">
    <w:abstractNumId w:val="14"/>
  </w:num>
  <w:num w:numId="15">
    <w:abstractNumId w:val="4"/>
  </w:num>
  <w:num w:numId="16">
    <w:abstractNumId w:val="3"/>
  </w:num>
  <w:num w:numId="17">
    <w:abstractNumId w:val="3"/>
  </w:num>
  <w:num w:numId="18">
    <w:abstractNumId w:val="3"/>
  </w:num>
  <w:num w:numId="19">
    <w:abstractNumId w:val="3"/>
  </w:num>
  <w:num w:numId="20">
    <w:abstractNumId w:val="3"/>
  </w:num>
  <w:num w:numId="21">
    <w:abstractNumId w:val="10"/>
  </w:num>
  <w:num w:numId="22">
    <w:abstractNumId w:val="6"/>
  </w:num>
  <w:num w:numId="23">
    <w:abstractNumId w:val="12"/>
  </w:num>
  <w:num w:numId="2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567"/>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FBC"/>
    <w:rsid w:val="00000E5E"/>
    <w:rsid w:val="000037AD"/>
    <w:rsid w:val="0000653B"/>
    <w:rsid w:val="00007B38"/>
    <w:rsid w:val="0001165D"/>
    <w:rsid w:val="00037530"/>
    <w:rsid w:val="0004591F"/>
    <w:rsid w:val="00050CD7"/>
    <w:rsid w:val="00056F5A"/>
    <w:rsid w:val="000633C1"/>
    <w:rsid w:val="0006411F"/>
    <w:rsid w:val="00064399"/>
    <w:rsid w:val="00064D0E"/>
    <w:rsid w:val="00067A31"/>
    <w:rsid w:val="0007071A"/>
    <w:rsid w:val="0007181A"/>
    <w:rsid w:val="00071C49"/>
    <w:rsid w:val="00083911"/>
    <w:rsid w:val="00084E72"/>
    <w:rsid w:val="000A1222"/>
    <w:rsid w:val="000A35E8"/>
    <w:rsid w:val="000A5E70"/>
    <w:rsid w:val="000A67DF"/>
    <w:rsid w:val="000B331A"/>
    <w:rsid w:val="000C5B6B"/>
    <w:rsid w:val="000C6889"/>
    <w:rsid w:val="000D0026"/>
    <w:rsid w:val="000D4549"/>
    <w:rsid w:val="000D6CA9"/>
    <w:rsid w:val="000D709D"/>
    <w:rsid w:val="000E1F4E"/>
    <w:rsid w:val="000E78C8"/>
    <w:rsid w:val="000F2D9E"/>
    <w:rsid w:val="00101434"/>
    <w:rsid w:val="00104A3F"/>
    <w:rsid w:val="00121D6C"/>
    <w:rsid w:val="00123668"/>
    <w:rsid w:val="00127B98"/>
    <w:rsid w:val="00133C8A"/>
    <w:rsid w:val="001350FA"/>
    <w:rsid w:val="0014707A"/>
    <w:rsid w:val="001622BF"/>
    <w:rsid w:val="00165767"/>
    <w:rsid w:val="00166269"/>
    <w:rsid w:val="001711F0"/>
    <w:rsid w:val="0018698A"/>
    <w:rsid w:val="00190FCC"/>
    <w:rsid w:val="00191B16"/>
    <w:rsid w:val="001961FA"/>
    <w:rsid w:val="001A0490"/>
    <w:rsid w:val="001A3BE6"/>
    <w:rsid w:val="001C0CBC"/>
    <w:rsid w:val="001C6EB9"/>
    <w:rsid w:val="001D531B"/>
    <w:rsid w:val="001D7882"/>
    <w:rsid w:val="001E4BD1"/>
    <w:rsid w:val="001F6978"/>
    <w:rsid w:val="00202BFF"/>
    <w:rsid w:val="00203E1D"/>
    <w:rsid w:val="002040AB"/>
    <w:rsid w:val="00206412"/>
    <w:rsid w:val="00207D29"/>
    <w:rsid w:val="0021101A"/>
    <w:rsid w:val="00211930"/>
    <w:rsid w:val="00213878"/>
    <w:rsid w:val="002146B2"/>
    <w:rsid w:val="002214FF"/>
    <w:rsid w:val="00225FBC"/>
    <w:rsid w:val="00226C19"/>
    <w:rsid w:val="00230372"/>
    <w:rsid w:val="00232234"/>
    <w:rsid w:val="00235703"/>
    <w:rsid w:val="00240D44"/>
    <w:rsid w:val="00240DFC"/>
    <w:rsid w:val="00242813"/>
    <w:rsid w:val="00245DEF"/>
    <w:rsid w:val="002465C1"/>
    <w:rsid w:val="0025163F"/>
    <w:rsid w:val="00255D75"/>
    <w:rsid w:val="00260BF9"/>
    <w:rsid w:val="00261BDA"/>
    <w:rsid w:val="002706C4"/>
    <w:rsid w:val="002822BE"/>
    <w:rsid w:val="002908C6"/>
    <w:rsid w:val="002928A7"/>
    <w:rsid w:val="002967EE"/>
    <w:rsid w:val="002A2AA2"/>
    <w:rsid w:val="002A3509"/>
    <w:rsid w:val="002A5ADD"/>
    <w:rsid w:val="002B3C3B"/>
    <w:rsid w:val="002B53F4"/>
    <w:rsid w:val="002C0D22"/>
    <w:rsid w:val="002C520E"/>
    <w:rsid w:val="002C76EC"/>
    <w:rsid w:val="002D06DC"/>
    <w:rsid w:val="002D502B"/>
    <w:rsid w:val="002D7F7F"/>
    <w:rsid w:val="002E0501"/>
    <w:rsid w:val="002E2C46"/>
    <w:rsid w:val="002E3103"/>
    <w:rsid w:val="002F2159"/>
    <w:rsid w:val="002F54D6"/>
    <w:rsid w:val="00301EAE"/>
    <w:rsid w:val="00312C4A"/>
    <w:rsid w:val="003158A1"/>
    <w:rsid w:val="00317D80"/>
    <w:rsid w:val="0032165A"/>
    <w:rsid w:val="00322202"/>
    <w:rsid w:val="00334B5B"/>
    <w:rsid w:val="00341623"/>
    <w:rsid w:val="00342C1C"/>
    <w:rsid w:val="00346D37"/>
    <w:rsid w:val="003559B9"/>
    <w:rsid w:val="00362313"/>
    <w:rsid w:val="0036682D"/>
    <w:rsid w:val="00380407"/>
    <w:rsid w:val="00385E07"/>
    <w:rsid w:val="003930E3"/>
    <w:rsid w:val="00395B5F"/>
    <w:rsid w:val="003A2238"/>
    <w:rsid w:val="003A55CA"/>
    <w:rsid w:val="003A7099"/>
    <w:rsid w:val="003B2067"/>
    <w:rsid w:val="003B46A2"/>
    <w:rsid w:val="003C10D0"/>
    <w:rsid w:val="003C3959"/>
    <w:rsid w:val="003C4807"/>
    <w:rsid w:val="003C533D"/>
    <w:rsid w:val="003D0A69"/>
    <w:rsid w:val="003D2FDA"/>
    <w:rsid w:val="003E364C"/>
    <w:rsid w:val="003F17C4"/>
    <w:rsid w:val="004004CA"/>
    <w:rsid w:val="004044D7"/>
    <w:rsid w:val="00405DEE"/>
    <w:rsid w:val="004126CE"/>
    <w:rsid w:val="0041473D"/>
    <w:rsid w:val="00416F37"/>
    <w:rsid w:val="004176AE"/>
    <w:rsid w:val="0042262F"/>
    <w:rsid w:val="0042612C"/>
    <w:rsid w:val="00431BF6"/>
    <w:rsid w:val="004424CA"/>
    <w:rsid w:val="004424FD"/>
    <w:rsid w:val="00445B21"/>
    <w:rsid w:val="00452A89"/>
    <w:rsid w:val="00466814"/>
    <w:rsid w:val="0047464C"/>
    <w:rsid w:val="004810FA"/>
    <w:rsid w:val="0048227B"/>
    <w:rsid w:val="0048429F"/>
    <w:rsid w:val="004A23B9"/>
    <w:rsid w:val="004A45D0"/>
    <w:rsid w:val="004A4C54"/>
    <w:rsid w:val="004B0855"/>
    <w:rsid w:val="004E31EA"/>
    <w:rsid w:val="004E59A2"/>
    <w:rsid w:val="004E7A8F"/>
    <w:rsid w:val="004F3527"/>
    <w:rsid w:val="00506F5C"/>
    <w:rsid w:val="005203E7"/>
    <w:rsid w:val="005225F6"/>
    <w:rsid w:val="0052429C"/>
    <w:rsid w:val="00544890"/>
    <w:rsid w:val="0055073B"/>
    <w:rsid w:val="00550ACB"/>
    <w:rsid w:val="005510D7"/>
    <w:rsid w:val="005650A0"/>
    <w:rsid w:val="00570BBB"/>
    <w:rsid w:val="00571192"/>
    <w:rsid w:val="00571560"/>
    <w:rsid w:val="00575C53"/>
    <w:rsid w:val="00576932"/>
    <w:rsid w:val="0057764D"/>
    <w:rsid w:val="00583470"/>
    <w:rsid w:val="00583F1C"/>
    <w:rsid w:val="005849CB"/>
    <w:rsid w:val="00590D14"/>
    <w:rsid w:val="00595B10"/>
    <w:rsid w:val="005A0607"/>
    <w:rsid w:val="005A2412"/>
    <w:rsid w:val="005B2629"/>
    <w:rsid w:val="005B58E9"/>
    <w:rsid w:val="005C63CB"/>
    <w:rsid w:val="005D07FE"/>
    <w:rsid w:val="005D33AE"/>
    <w:rsid w:val="005E0C03"/>
    <w:rsid w:val="005E567D"/>
    <w:rsid w:val="005F1768"/>
    <w:rsid w:val="005F1CE2"/>
    <w:rsid w:val="005F7BFB"/>
    <w:rsid w:val="00601775"/>
    <w:rsid w:val="00602442"/>
    <w:rsid w:val="00615997"/>
    <w:rsid w:val="00626E24"/>
    <w:rsid w:val="00627F6D"/>
    <w:rsid w:val="00631CBF"/>
    <w:rsid w:val="006322EB"/>
    <w:rsid w:val="0063448F"/>
    <w:rsid w:val="00641203"/>
    <w:rsid w:val="00641694"/>
    <w:rsid w:val="00645150"/>
    <w:rsid w:val="00652D4E"/>
    <w:rsid w:val="0065741D"/>
    <w:rsid w:val="006640FB"/>
    <w:rsid w:val="006718C2"/>
    <w:rsid w:val="006739A1"/>
    <w:rsid w:val="00691BA1"/>
    <w:rsid w:val="00694A5E"/>
    <w:rsid w:val="006A62E2"/>
    <w:rsid w:val="006B17B3"/>
    <w:rsid w:val="006B497B"/>
    <w:rsid w:val="006D510A"/>
    <w:rsid w:val="006E73B7"/>
    <w:rsid w:val="006F0340"/>
    <w:rsid w:val="006F04F5"/>
    <w:rsid w:val="006F582B"/>
    <w:rsid w:val="00705310"/>
    <w:rsid w:val="00707D3E"/>
    <w:rsid w:val="007109FA"/>
    <w:rsid w:val="00712FB8"/>
    <w:rsid w:val="007234F7"/>
    <w:rsid w:val="00723850"/>
    <w:rsid w:val="00731126"/>
    <w:rsid w:val="0073329A"/>
    <w:rsid w:val="00735E0D"/>
    <w:rsid w:val="00736DFB"/>
    <w:rsid w:val="00757985"/>
    <w:rsid w:val="00765A2A"/>
    <w:rsid w:val="00771F98"/>
    <w:rsid w:val="00771FDE"/>
    <w:rsid w:val="00773364"/>
    <w:rsid w:val="00773BE4"/>
    <w:rsid w:val="00775446"/>
    <w:rsid w:val="007837E0"/>
    <w:rsid w:val="00786693"/>
    <w:rsid w:val="007906EB"/>
    <w:rsid w:val="0079329C"/>
    <w:rsid w:val="007A31AC"/>
    <w:rsid w:val="007A5FCA"/>
    <w:rsid w:val="007B0BBD"/>
    <w:rsid w:val="007B563E"/>
    <w:rsid w:val="007C150F"/>
    <w:rsid w:val="007D0E61"/>
    <w:rsid w:val="007D5EAB"/>
    <w:rsid w:val="007E2B68"/>
    <w:rsid w:val="007E467E"/>
    <w:rsid w:val="007F3679"/>
    <w:rsid w:val="007F6E95"/>
    <w:rsid w:val="0080064F"/>
    <w:rsid w:val="00822DC3"/>
    <w:rsid w:val="00824CD2"/>
    <w:rsid w:val="008252EA"/>
    <w:rsid w:val="0083175E"/>
    <w:rsid w:val="00831F29"/>
    <w:rsid w:val="00840B9C"/>
    <w:rsid w:val="00847B2F"/>
    <w:rsid w:val="00854647"/>
    <w:rsid w:val="00873FA3"/>
    <w:rsid w:val="00874EDE"/>
    <w:rsid w:val="00894284"/>
    <w:rsid w:val="008958F0"/>
    <w:rsid w:val="00897CF4"/>
    <w:rsid w:val="008A06D5"/>
    <w:rsid w:val="008A7638"/>
    <w:rsid w:val="008B45A2"/>
    <w:rsid w:val="008C1703"/>
    <w:rsid w:val="008D5CDB"/>
    <w:rsid w:val="008E26DA"/>
    <w:rsid w:val="00907106"/>
    <w:rsid w:val="00915AB2"/>
    <w:rsid w:val="00920014"/>
    <w:rsid w:val="00923E9E"/>
    <w:rsid w:val="0093077B"/>
    <w:rsid w:val="00936BED"/>
    <w:rsid w:val="009374BF"/>
    <w:rsid w:val="00937637"/>
    <w:rsid w:val="00942022"/>
    <w:rsid w:val="00944637"/>
    <w:rsid w:val="009463C0"/>
    <w:rsid w:val="00947BCB"/>
    <w:rsid w:val="00951047"/>
    <w:rsid w:val="0095322F"/>
    <w:rsid w:val="009606D9"/>
    <w:rsid w:val="00981281"/>
    <w:rsid w:val="00985720"/>
    <w:rsid w:val="009A201A"/>
    <w:rsid w:val="009B67B6"/>
    <w:rsid w:val="009C11F9"/>
    <w:rsid w:val="009C1A3D"/>
    <w:rsid w:val="009C28E6"/>
    <w:rsid w:val="009C296A"/>
    <w:rsid w:val="009C6A84"/>
    <w:rsid w:val="009D77B7"/>
    <w:rsid w:val="009D7A57"/>
    <w:rsid w:val="009E37D0"/>
    <w:rsid w:val="009E7A23"/>
    <w:rsid w:val="009F72AF"/>
    <w:rsid w:val="00A15FDD"/>
    <w:rsid w:val="00A21E5E"/>
    <w:rsid w:val="00A31CA2"/>
    <w:rsid w:val="00A36459"/>
    <w:rsid w:val="00A36ADE"/>
    <w:rsid w:val="00A36BA1"/>
    <w:rsid w:val="00A41420"/>
    <w:rsid w:val="00A4262E"/>
    <w:rsid w:val="00A526B3"/>
    <w:rsid w:val="00A54D13"/>
    <w:rsid w:val="00A5599B"/>
    <w:rsid w:val="00A63AE0"/>
    <w:rsid w:val="00A65393"/>
    <w:rsid w:val="00A672C6"/>
    <w:rsid w:val="00A6794E"/>
    <w:rsid w:val="00A7382A"/>
    <w:rsid w:val="00A83798"/>
    <w:rsid w:val="00A83FE4"/>
    <w:rsid w:val="00A86BF7"/>
    <w:rsid w:val="00A906B1"/>
    <w:rsid w:val="00A90943"/>
    <w:rsid w:val="00AB0CC7"/>
    <w:rsid w:val="00AB2879"/>
    <w:rsid w:val="00AB2C56"/>
    <w:rsid w:val="00AC34E8"/>
    <w:rsid w:val="00AD1678"/>
    <w:rsid w:val="00AD1BF3"/>
    <w:rsid w:val="00AE23BD"/>
    <w:rsid w:val="00AE4A23"/>
    <w:rsid w:val="00AE7BDC"/>
    <w:rsid w:val="00AF1CF3"/>
    <w:rsid w:val="00AF2ACE"/>
    <w:rsid w:val="00B0264B"/>
    <w:rsid w:val="00B02BE6"/>
    <w:rsid w:val="00B3268F"/>
    <w:rsid w:val="00B32E6E"/>
    <w:rsid w:val="00B35553"/>
    <w:rsid w:val="00B37FA6"/>
    <w:rsid w:val="00B4638C"/>
    <w:rsid w:val="00B53C9E"/>
    <w:rsid w:val="00B64099"/>
    <w:rsid w:val="00B662DD"/>
    <w:rsid w:val="00B66C20"/>
    <w:rsid w:val="00B75AB1"/>
    <w:rsid w:val="00B81DF9"/>
    <w:rsid w:val="00B95033"/>
    <w:rsid w:val="00B96703"/>
    <w:rsid w:val="00BA3B87"/>
    <w:rsid w:val="00BB53C8"/>
    <w:rsid w:val="00BC7275"/>
    <w:rsid w:val="00BD17E2"/>
    <w:rsid w:val="00BD5E6F"/>
    <w:rsid w:val="00BE3A2B"/>
    <w:rsid w:val="00BE5671"/>
    <w:rsid w:val="00BE7865"/>
    <w:rsid w:val="00BE7956"/>
    <w:rsid w:val="00C0179E"/>
    <w:rsid w:val="00C0443F"/>
    <w:rsid w:val="00C31D6C"/>
    <w:rsid w:val="00C32AFD"/>
    <w:rsid w:val="00C33AC5"/>
    <w:rsid w:val="00C36FBE"/>
    <w:rsid w:val="00C374FE"/>
    <w:rsid w:val="00C4222A"/>
    <w:rsid w:val="00C435B8"/>
    <w:rsid w:val="00C43A8E"/>
    <w:rsid w:val="00C44E88"/>
    <w:rsid w:val="00C501C8"/>
    <w:rsid w:val="00C72DEB"/>
    <w:rsid w:val="00C72E73"/>
    <w:rsid w:val="00C779FA"/>
    <w:rsid w:val="00C83CC4"/>
    <w:rsid w:val="00C93DDE"/>
    <w:rsid w:val="00CA1D99"/>
    <w:rsid w:val="00CC7898"/>
    <w:rsid w:val="00CD29C8"/>
    <w:rsid w:val="00CD6DAD"/>
    <w:rsid w:val="00CD7F46"/>
    <w:rsid w:val="00CE22ED"/>
    <w:rsid w:val="00CE45A9"/>
    <w:rsid w:val="00D03171"/>
    <w:rsid w:val="00D33905"/>
    <w:rsid w:val="00D371D7"/>
    <w:rsid w:val="00D43029"/>
    <w:rsid w:val="00D517C9"/>
    <w:rsid w:val="00D64AB2"/>
    <w:rsid w:val="00D72800"/>
    <w:rsid w:val="00D73124"/>
    <w:rsid w:val="00D737A8"/>
    <w:rsid w:val="00D73A1B"/>
    <w:rsid w:val="00D83A13"/>
    <w:rsid w:val="00D84DDC"/>
    <w:rsid w:val="00D944D4"/>
    <w:rsid w:val="00DA05C5"/>
    <w:rsid w:val="00DA156A"/>
    <w:rsid w:val="00DB05B5"/>
    <w:rsid w:val="00DB21C4"/>
    <w:rsid w:val="00DB7A01"/>
    <w:rsid w:val="00DC098B"/>
    <w:rsid w:val="00DC227C"/>
    <w:rsid w:val="00DD3F28"/>
    <w:rsid w:val="00DD532F"/>
    <w:rsid w:val="00DD580B"/>
    <w:rsid w:val="00DE6347"/>
    <w:rsid w:val="00DF3DD4"/>
    <w:rsid w:val="00DF6906"/>
    <w:rsid w:val="00E06897"/>
    <w:rsid w:val="00E15E5C"/>
    <w:rsid w:val="00E21FF3"/>
    <w:rsid w:val="00E240A4"/>
    <w:rsid w:val="00E245A5"/>
    <w:rsid w:val="00E25FFC"/>
    <w:rsid w:val="00E33BB4"/>
    <w:rsid w:val="00E41D46"/>
    <w:rsid w:val="00E56070"/>
    <w:rsid w:val="00E63973"/>
    <w:rsid w:val="00E643BE"/>
    <w:rsid w:val="00E64D4E"/>
    <w:rsid w:val="00E73F1D"/>
    <w:rsid w:val="00E74DD0"/>
    <w:rsid w:val="00E753B7"/>
    <w:rsid w:val="00EA2F8F"/>
    <w:rsid w:val="00EB6238"/>
    <w:rsid w:val="00EB731F"/>
    <w:rsid w:val="00EB737E"/>
    <w:rsid w:val="00EC3AB4"/>
    <w:rsid w:val="00ED1965"/>
    <w:rsid w:val="00ED7EB5"/>
    <w:rsid w:val="00EE696D"/>
    <w:rsid w:val="00F002AE"/>
    <w:rsid w:val="00F12F49"/>
    <w:rsid w:val="00F14966"/>
    <w:rsid w:val="00F20B43"/>
    <w:rsid w:val="00F27464"/>
    <w:rsid w:val="00F2785A"/>
    <w:rsid w:val="00F31685"/>
    <w:rsid w:val="00F32120"/>
    <w:rsid w:val="00F413B9"/>
    <w:rsid w:val="00F41BD4"/>
    <w:rsid w:val="00F42756"/>
    <w:rsid w:val="00F44B4E"/>
    <w:rsid w:val="00F46C3A"/>
    <w:rsid w:val="00F509A0"/>
    <w:rsid w:val="00F57DCA"/>
    <w:rsid w:val="00F728BA"/>
    <w:rsid w:val="00F72B63"/>
    <w:rsid w:val="00F74754"/>
    <w:rsid w:val="00F800F9"/>
    <w:rsid w:val="00F830B6"/>
    <w:rsid w:val="00F8740E"/>
    <w:rsid w:val="00FB35D0"/>
    <w:rsid w:val="00FC2EA9"/>
    <w:rsid w:val="00FD57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qFormat/>
    <w:rsid w:val="00380407"/>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380407"/>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380407"/>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rsid w:val="00380407"/>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380407"/>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380407"/>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basedOn w:val="DefaultParagraphFont"/>
    <w:uiPriority w:val="99"/>
    <w:semiHidden/>
    <w:rsid w:val="00380407"/>
    <w:rPr>
      <w:sz w:val="16"/>
    </w:rPr>
  </w:style>
  <w:style w:type="paragraph" w:styleId="CommentText">
    <w:name w:val="annotation text"/>
    <w:basedOn w:val="Normal"/>
    <w:link w:val="CommentTextChar1"/>
    <w:uiPriority w:val="99"/>
    <w:semiHidden/>
    <w:rsid w:val="00380407"/>
  </w:style>
  <w:style w:type="paragraph" w:customStyle="1" w:styleId="EW">
    <w:name w:val="EW"/>
    <w:next w:val="Normal"/>
    <w:rsid w:val="00380407"/>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rsid w:val="00380407"/>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styleId="Footer">
    <w:name w:val="footer"/>
    <w:basedOn w:val="Normal"/>
    <w:link w:val="FooterChar"/>
    <w:uiPriority w:val="99"/>
    <w:rsid w:val="00380407"/>
    <w:pPr>
      <w:tabs>
        <w:tab w:val="clear" w:pos="1418"/>
        <w:tab w:val="clear" w:pos="4678"/>
        <w:tab w:val="clear" w:pos="5954"/>
        <w:tab w:val="clear" w:pos="7088"/>
        <w:tab w:val="center" w:pos="4819"/>
        <w:tab w:val="right" w:pos="9071"/>
      </w:tabs>
    </w:pPr>
  </w:style>
  <w:style w:type="character" w:styleId="FootnoteReference">
    <w:name w:val="footnote reference"/>
    <w:basedOn w:val="DefaultParagraphFont"/>
    <w:uiPriority w:val="99"/>
    <w:semiHidden/>
    <w:rsid w:val="00380407"/>
    <w:rPr>
      <w:b/>
      <w:position w:val="6"/>
      <w:sz w:val="16"/>
    </w:rPr>
  </w:style>
  <w:style w:type="paragraph" w:styleId="FootnoteText">
    <w:name w:val="footnote text"/>
    <w:link w:val="FootnoteTextChar"/>
    <w:uiPriority w:val="99"/>
    <w:semiHidden/>
    <w:rsid w:val="00380407"/>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rsid w:val="00380407"/>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rsid w:val="00380407"/>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380407"/>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link w:val="HeaderChar"/>
    <w:uiPriority w:val="99"/>
    <w:rsid w:val="00380407"/>
    <w:pPr>
      <w:tabs>
        <w:tab w:val="clear" w:pos="1418"/>
        <w:tab w:val="clear" w:pos="4678"/>
        <w:tab w:val="clear" w:pos="5954"/>
        <w:tab w:val="clear" w:pos="7088"/>
        <w:tab w:val="center" w:pos="4819"/>
        <w:tab w:val="right" w:pos="9071"/>
      </w:tabs>
    </w:pPr>
  </w:style>
  <w:style w:type="paragraph" w:customStyle="1" w:styleId="HO">
    <w:name w:val="HO"/>
    <w:next w:val="Normal"/>
    <w:rsid w:val="00380407"/>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rsid w:val="00380407"/>
  </w:style>
  <w:style w:type="paragraph" w:styleId="Index2">
    <w:name w:val="index 2"/>
    <w:basedOn w:val="Normal"/>
    <w:semiHidden/>
    <w:rsid w:val="00380407"/>
    <w:pPr>
      <w:ind w:left="567"/>
    </w:pPr>
  </w:style>
  <w:style w:type="paragraph" w:styleId="IndexHeading">
    <w:name w:val="index heading"/>
    <w:basedOn w:val="Normal"/>
    <w:semiHidden/>
    <w:rsid w:val="00380407"/>
    <w:pPr>
      <w:keepNext/>
      <w:keepLines/>
      <w:spacing w:before="240"/>
    </w:pPr>
    <w:rPr>
      <w:b/>
      <w:sz w:val="24"/>
    </w:rPr>
  </w:style>
  <w:style w:type="paragraph" w:customStyle="1" w:styleId="LD">
    <w:name w:val="LD"/>
    <w:rsid w:val="00380407"/>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380407"/>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rsid w:val="00645150"/>
    <w:pPr>
      <w:ind w:left="567"/>
    </w:pPr>
  </w:style>
  <w:style w:type="paragraph" w:customStyle="1" w:styleId="NW">
    <w:name w:val="NW"/>
    <w:basedOn w:val="NO"/>
    <w:next w:val="Normal"/>
    <w:rsid w:val="00380407"/>
    <w:pPr>
      <w:spacing w:after="0"/>
    </w:pPr>
  </w:style>
  <w:style w:type="paragraph" w:customStyle="1" w:styleId="WP">
    <w:name w:val="WP"/>
    <w:next w:val="Normal"/>
    <w:rsid w:val="00380407"/>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380407"/>
    <w:pPr>
      <w:keepNext/>
      <w:keepLines/>
      <w:spacing w:before="12" w:after="12"/>
      <w:ind w:left="57" w:right="57"/>
    </w:pPr>
  </w:style>
  <w:style w:type="paragraph" w:customStyle="1" w:styleId="TAC">
    <w:name w:val="TAC"/>
    <w:basedOn w:val="TAJ"/>
    <w:rsid w:val="00380407"/>
    <w:pPr>
      <w:jc w:val="center"/>
    </w:pPr>
  </w:style>
  <w:style w:type="paragraph" w:customStyle="1" w:styleId="TAH">
    <w:name w:val="TAH"/>
    <w:basedOn w:val="TAC"/>
    <w:rsid w:val="00380407"/>
    <w:rPr>
      <w:b/>
    </w:rPr>
  </w:style>
  <w:style w:type="paragraph" w:customStyle="1" w:styleId="TAL">
    <w:name w:val="TAL"/>
    <w:basedOn w:val="TAJ"/>
    <w:rsid w:val="00380407"/>
    <w:pPr>
      <w:jc w:val="left"/>
    </w:pPr>
  </w:style>
  <w:style w:type="paragraph" w:customStyle="1" w:styleId="TAN">
    <w:name w:val="TAN"/>
    <w:basedOn w:val="NO"/>
    <w:rsid w:val="00380407"/>
    <w:pPr>
      <w:keepNext/>
      <w:keepLines/>
      <w:tabs>
        <w:tab w:val="clear" w:pos="1701"/>
        <w:tab w:val="left" w:pos="1247"/>
      </w:tabs>
      <w:spacing w:before="12" w:after="12"/>
      <w:ind w:left="1247" w:right="57" w:hanging="1191"/>
    </w:pPr>
  </w:style>
  <w:style w:type="paragraph" w:customStyle="1" w:styleId="TB">
    <w:name w:val="TB"/>
    <w:rsid w:val="00380407"/>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380407"/>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380407"/>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380407"/>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uiPriority w:val="99"/>
    <w:semiHidden/>
    <w:rsid w:val="00380407"/>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rsid w:val="00380407"/>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rsid w:val="00380407"/>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380407"/>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380407"/>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380407"/>
    <w:pPr>
      <w:tabs>
        <w:tab w:val="clear" w:pos="567"/>
        <w:tab w:val="left" w:pos="2268"/>
      </w:tabs>
      <w:ind w:left="2268" w:hanging="2268"/>
    </w:pPr>
  </w:style>
  <w:style w:type="paragraph" w:customStyle="1" w:styleId="TT">
    <w:name w:val="TT"/>
    <w:next w:val="Normal"/>
    <w:rsid w:val="00380407"/>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380407"/>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rsid w:val="00380407"/>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rsid w:val="00380407"/>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380407"/>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380407"/>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customStyle="1" w:styleId="ZU">
    <w:name w:val="ZU"/>
    <w:rsid w:val="00380407"/>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380407"/>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styleId="BodyText">
    <w:name w:val="Body Text"/>
    <w:basedOn w:val="Normal"/>
    <w:rsid w:val="00380407"/>
    <w:pPr>
      <w:spacing w:after="120"/>
    </w:pPr>
  </w:style>
  <w:style w:type="character" w:styleId="Hyperlink">
    <w:name w:val="Hyperlink"/>
    <w:basedOn w:val="DefaultParagraphFont"/>
    <w:uiPriority w:val="99"/>
    <w:rsid w:val="00380407"/>
    <w:rPr>
      <w:color w:val="0000FF"/>
      <w:u w:val="single"/>
    </w:rPr>
  </w:style>
  <w:style w:type="paragraph" w:customStyle="1" w:styleId="normal2">
    <w:name w:val="normal2"/>
    <w:basedOn w:val="Normal"/>
    <w:rsid w:val="003559B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qFormat/>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basedOn w:val="DefaultParagraphFont"/>
    <w:link w:val="Heading6"/>
    <w:uiPriority w:val="99"/>
    <w:rsid w:val="00A526B3"/>
    <w:rPr>
      <w:rFonts w:ascii="Calibri" w:hAnsi="Calibri"/>
      <w:b/>
      <w:bCs/>
      <w:sz w:val="22"/>
      <w:szCs w:val="22"/>
      <w:lang w:eastAsia="en-US"/>
    </w:rPr>
  </w:style>
  <w:style w:type="character" w:customStyle="1" w:styleId="Heading1Char">
    <w:name w:val="Heading 1 Char"/>
    <w:basedOn w:val="DefaultParagraphFont"/>
    <w:link w:val="Heading1"/>
    <w:rsid w:val="00AB0CC7"/>
    <w:rPr>
      <w:rFonts w:ascii="Arial" w:hAnsi="Arial"/>
      <w:b/>
      <w:sz w:val="24"/>
      <w:lang w:val="en-GB" w:eastAsia="en-US" w:bidi="ar-SA"/>
    </w:rPr>
  </w:style>
  <w:style w:type="character" w:customStyle="1" w:styleId="Heading2Char">
    <w:name w:val="Heading 2 Char"/>
    <w:basedOn w:val="DefaultParagraphFont"/>
    <w:link w:val="Heading2"/>
    <w:rsid w:val="00F32120"/>
    <w:rPr>
      <w:rFonts w:ascii="Arial" w:hAnsi="Arial"/>
      <w:b/>
      <w:lang w:eastAsia="en-US"/>
    </w:rPr>
  </w:style>
  <w:style w:type="character" w:customStyle="1" w:styleId="Heading3Char">
    <w:name w:val="Heading 3 Char"/>
    <w:basedOn w:val="DefaultParagraphFont"/>
    <w:link w:val="Heading3"/>
    <w:rsid w:val="00A526B3"/>
    <w:rPr>
      <w:rFonts w:ascii="Arial" w:hAnsi="Arial"/>
      <w:b/>
      <w:lang w:val="en-GB" w:eastAsia="en-US" w:bidi="ar-SA"/>
    </w:rPr>
  </w:style>
  <w:style w:type="character" w:customStyle="1" w:styleId="FootnoteTextChar">
    <w:name w:val="Footnote Text Char"/>
    <w:basedOn w:val="DefaultParagraphFont"/>
    <w:link w:val="FootnoteText"/>
    <w:uiPriority w:val="99"/>
    <w:semiHidden/>
    <w:rsid w:val="00A526B3"/>
    <w:rPr>
      <w:rFonts w:ascii="Arial" w:hAnsi="Arial"/>
      <w:sz w:val="16"/>
      <w:lang w:val="en-GB" w:eastAsia="en-US" w:bidi="ar-SA"/>
    </w:rPr>
  </w:style>
  <w:style w:type="paragraph" w:customStyle="1" w:styleId="Tabletext">
    <w:name w:val="Table text"/>
    <w:basedOn w:val="Normal"/>
    <w:uiPriority w:val="99"/>
    <w:rsid w:val="00A526B3"/>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basedOn w:val="DefaultParagraphFont"/>
    <w:link w:val="B1"/>
    <w:uiPriority w:val="99"/>
    <w:rsid w:val="00A526B3"/>
    <w:rPr>
      <w:rFonts w:ascii="Arial" w:hAnsi="Arial"/>
      <w:lang w:eastAsia="en-US"/>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A526B3"/>
    <w:rPr>
      <w:lang w:eastAsia="en-US"/>
    </w:rPr>
  </w:style>
  <w:style w:type="character" w:styleId="EndnoteReference">
    <w:name w:val="endnote reference"/>
    <w:basedOn w:val="DefaultParagraphFont"/>
    <w:uiPriority w:val="99"/>
    <w:rsid w:val="00A526B3"/>
    <w:rPr>
      <w:rFonts w:cs="Times New Roman"/>
      <w:vertAlign w:val="superscript"/>
    </w:rPr>
  </w:style>
  <w:style w:type="character" w:customStyle="1" w:styleId="HeaderChar">
    <w:name w:val="Header Char"/>
    <w:basedOn w:val="DefaultParagraphFont"/>
    <w:link w:val="Header"/>
    <w:uiPriority w:val="99"/>
    <w:rsid w:val="00A526B3"/>
    <w:rPr>
      <w:rFonts w:ascii="Arial" w:hAnsi="Arial"/>
      <w:lang w:eastAsia="en-US"/>
    </w:rPr>
  </w:style>
  <w:style w:type="character" w:customStyle="1" w:styleId="FooterChar">
    <w:name w:val="Footer Char"/>
    <w:basedOn w:val="DefaultParagraphFont"/>
    <w:link w:val="Footer"/>
    <w:uiPriority w:val="99"/>
    <w:rsid w:val="00A526B3"/>
    <w:rPr>
      <w:rFonts w:ascii="Arial" w:hAnsi="Arial"/>
      <w:lang w:eastAsia="en-US"/>
    </w:rPr>
  </w:style>
  <w:style w:type="character" w:customStyle="1" w:styleId="CommentTextChar">
    <w:name w:val="Comment Text Char"/>
    <w:basedOn w:val="DefaultParagraphFont"/>
    <w:uiPriority w:val="99"/>
    <w:rsid w:val="00A526B3"/>
    <w:rPr>
      <w:rFonts w:cs="Times New Roman"/>
      <w:snapToGrid w:val="0"/>
      <w:lang w:eastAsia="en-US"/>
    </w:rPr>
  </w:style>
  <w:style w:type="paragraph" w:styleId="CommentSubject">
    <w:name w:val="annotation subject"/>
    <w:basedOn w:val="CommentText"/>
    <w:next w:val="CommentText"/>
    <w:link w:val="CommentSubjec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basedOn w:val="DefaultParagraphFont"/>
    <w:link w:val="CommentText"/>
    <w:uiPriority w:val="99"/>
    <w:semiHidden/>
    <w:rsid w:val="00A526B3"/>
    <w:rPr>
      <w:rFonts w:ascii="Arial" w:hAnsi="Arial"/>
      <w:lang w:eastAsia="en-US"/>
    </w:rPr>
  </w:style>
  <w:style w:type="character" w:customStyle="1" w:styleId="CommentSubjectChar">
    <w:name w:val="Comment Subject Char"/>
    <w:basedOn w:val="CommentTextChar1"/>
    <w:link w:val="CommentSubject"/>
    <w:uiPriority w:val="99"/>
    <w:rsid w:val="00A526B3"/>
    <w:rPr>
      <w:b/>
      <w:bCs/>
    </w:rPr>
  </w:style>
  <w:style w:type="paragraph" w:styleId="BalloonText">
    <w:name w:val="Balloon Text"/>
    <w:basedOn w:val="Normal"/>
    <w:link w:val="BalloonTextChar"/>
    <w:uiPriority w:val="99"/>
    <w:rsid w:val="00A526B3"/>
    <w:pPr>
      <w:tabs>
        <w:tab w:val="clear" w:pos="1418"/>
        <w:tab w:val="clear" w:pos="4678"/>
        <w:tab w:val="clear" w:pos="5954"/>
        <w:tab w:val="clear" w:pos="7088"/>
      </w:tabs>
      <w:overflowPunct/>
      <w:autoSpaceDE/>
      <w:autoSpaceDN/>
      <w:adjustRightInd/>
      <w:jc w:val="left"/>
      <w:textAlignment w:val="auto"/>
    </w:pPr>
    <w:rPr>
      <w:rFonts w:ascii="Tahoma" w:hAnsi="Tahoma" w:cs="Tahoma"/>
      <w:sz w:val="16"/>
      <w:szCs w:val="16"/>
    </w:rPr>
  </w:style>
  <w:style w:type="character" w:customStyle="1" w:styleId="BalloonTextChar">
    <w:name w:val="Balloon Text Char"/>
    <w:basedOn w:val="DefaultParagraphFont"/>
    <w:link w:val="BalloonText"/>
    <w:uiPriority w:val="99"/>
    <w:rsid w:val="00A526B3"/>
    <w:rPr>
      <w:rFonts w:ascii="Tahoma" w:hAnsi="Tahoma" w:cs="Tahoma"/>
      <w:sz w:val="16"/>
      <w:szCs w:val="16"/>
      <w:lang w:eastAsia="en-US"/>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basedOn w:val="DefaultParagraphFont"/>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basedOn w:val="DefaultParagraphFont"/>
    <w:uiPriority w:val="99"/>
    <w:qFormat/>
    <w:rsid w:val="00A526B3"/>
    <w:rPr>
      <w:rFonts w:cs="Times New Roman"/>
      <w:i/>
      <w:iCs/>
    </w:rPr>
  </w:style>
  <w:style w:type="paragraph" w:customStyle="1" w:styleId="GuidelineB1Italic">
    <w:name w:val="Guideline B1 + Italic"/>
    <w:basedOn w:val="B1"/>
    <w:rsid w:val="00AE23BD"/>
    <w:pPr>
      <w:tabs>
        <w:tab w:val="num" w:pos="927"/>
      </w:tabs>
      <w:ind w:left="851"/>
    </w:pPr>
    <w:rPr>
      <w:i/>
      <w:iCs/>
    </w:rPr>
  </w:style>
  <w:style w:type="paragraph" w:customStyle="1" w:styleId="GuidelineB0Italic">
    <w:name w:val="Guideline B0 + Italic"/>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styleId="DocumentMap">
    <w:name w:val="Document Map"/>
    <w:basedOn w:val="Normal"/>
    <w:link w:val="DocumentMapChar"/>
    <w:rsid w:val="00242813"/>
    <w:rPr>
      <w:rFonts w:ascii="Tahoma" w:hAnsi="Tahoma" w:cs="Tahoma"/>
      <w:sz w:val="16"/>
      <w:szCs w:val="16"/>
    </w:rPr>
  </w:style>
  <w:style w:type="character" w:customStyle="1" w:styleId="DocumentMapChar">
    <w:name w:val="Document Map Char"/>
    <w:basedOn w:val="DefaultParagraphFont"/>
    <w:link w:val="DocumentMap"/>
    <w:rsid w:val="0024281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507012108">
      <w:bodyDiv w:val="1"/>
      <w:marLeft w:val="0"/>
      <w:marRight w:val="0"/>
      <w:marTop w:val="0"/>
      <w:marBottom w:val="0"/>
      <w:divBdr>
        <w:top w:val="none" w:sz="0" w:space="0" w:color="auto"/>
        <w:left w:val="none" w:sz="0" w:space="0" w:color="auto"/>
        <w:bottom w:val="none" w:sz="0" w:space="0" w:color="auto"/>
        <w:right w:val="none" w:sz="0" w:space="0" w:color="auto"/>
      </w:divBdr>
      <w:divsChild>
        <w:div w:id="63526511">
          <w:marLeft w:val="547"/>
          <w:marRight w:val="0"/>
          <w:marTop w:val="240"/>
          <w:marBottom w:val="0"/>
          <w:divBdr>
            <w:top w:val="none" w:sz="0" w:space="0" w:color="auto"/>
            <w:left w:val="none" w:sz="0" w:space="0" w:color="auto"/>
            <w:bottom w:val="none" w:sz="0" w:space="0" w:color="auto"/>
            <w:right w:val="none" w:sz="0" w:space="0" w:color="auto"/>
          </w:divBdr>
        </w:div>
        <w:div w:id="64303463">
          <w:marLeft w:val="1800"/>
          <w:marRight w:val="0"/>
          <w:marTop w:val="77"/>
          <w:marBottom w:val="0"/>
          <w:divBdr>
            <w:top w:val="none" w:sz="0" w:space="0" w:color="auto"/>
            <w:left w:val="none" w:sz="0" w:space="0" w:color="auto"/>
            <w:bottom w:val="none" w:sz="0" w:space="0" w:color="auto"/>
            <w:right w:val="none" w:sz="0" w:space="0" w:color="auto"/>
          </w:divBdr>
        </w:div>
        <w:div w:id="113259174">
          <w:marLeft w:val="1166"/>
          <w:marRight w:val="0"/>
          <w:marTop w:val="86"/>
          <w:marBottom w:val="0"/>
          <w:divBdr>
            <w:top w:val="none" w:sz="0" w:space="0" w:color="auto"/>
            <w:left w:val="none" w:sz="0" w:space="0" w:color="auto"/>
            <w:bottom w:val="none" w:sz="0" w:space="0" w:color="auto"/>
            <w:right w:val="none" w:sz="0" w:space="0" w:color="auto"/>
          </w:divBdr>
        </w:div>
        <w:div w:id="402534828">
          <w:marLeft w:val="1800"/>
          <w:marRight w:val="0"/>
          <w:marTop w:val="77"/>
          <w:marBottom w:val="0"/>
          <w:divBdr>
            <w:top w:val="none" w:sz="0" w:space="0" w:color="auto"/>
            <w:left w:val="none" w:sz="0" w:space="0" w:color="auto"/>
            <w:bottom w:val="none" w:sz="0" w:space="0" w:color="auto"/>
            <w:right w:val="none" w:sz="0" w:space="0" w:color="auto"/>
          </w:divBdr>
        </w:div>
        <w:div w:id="647246505">
          <w:marLeft w:val="1800"/>
          <w:marRight w:val="0"/>
          <w:marTop w:val="77"/>
          <w:marBottom w:val="0"/>
          <w:divBdr>
            <w:top w:val="none" w:sz="0" w:space="0" w:color="auto"/>
            <w:left w:val="none" w:sz="0" w:space="0" w:color="auto"/>
            <w:bottom w:val="none" w:sz="0" w:space="0" w:color="auto"/>
            <w:right w:val="none" w:sz="0" w:space="0" w:color="auto"/>
          </w:divBdr>
        </w:div>
        <w:div w:id="808943007">
          <w:marLeft w:val="1166"/>
          <w:marRight w:val="0"/>
          <w:marTop w:val="86"/>
          <w:marBottom w:val="0"/>
          <w:divBdr>
            <w:top w:val="none" w:sz="0" w:space="0" w:color="auto"/>
            <w:left w:val="none" w:sz="0" w:space="0" w:color="auto"/>
            <w:bottom w:val="none" w:sz="0" w:space="0" w:color="auto"/>
            <w:right w:val="none" w:sz="0" w:space="0" w:color="auto"/>
          </w:divBdr>
        </w:div>
        <w:div w:id="1333266021">
          <w:marLeft w:val="1166"/>
          <w:marRight w:val="0"/>
          <w:marTop w:val="86"/>
          <w:marBottom w:val="0"/>
          <w:divBdr>
            <w:top w:val="none" w:sz="0" w:space="0" w:color="auto"/>
            <w:left w:val="none" w:sz="0" w:space="0" w:color="auto"/>
            <w:bottom w:val="none" w:sz="0" w:space="0" w:color="auto"/>
            <w:right w:val="none" w:sz="0" w:space="0" w:color="auto"/>
          </w:divBdr>
        </w:div>
        <w:div w:id="1465272410">
          <w:marLeft w:val="547"/>
          <w:marRight w:val="0"/>
          <w:marTop w:val="240"/>
          <w:marBottom w:val="0"/>
          <w:divBdr>
            <w:top w:val="none" w:sz="0" w:space="0" w:color="auto"/>
            <w:left w:val="none" w:sz="0" w:space="0" w:color="auto"/>
            <w:bottom w:val="none" w:sz="0" w:space="0" w:color="auto"/>
            <w:right w:val="none" w:sz="0" w:space="0" w:color="auto"/>
          </w:divBdr>
        </w:div>
        <w:div w:id="1475871943">
          <w:marLeft w:val="1166"/>
          <w:marRight w:val="0"/>
          <w:marTop w:val="86"/>
          <w:marBottom w:val="0"/>
          <w:divBdr>
            <w:top w:val="none" w:sz="0" w:space="0" w:color="auto"/>
            <w:left w:val="none" w:sz="0" w:space="0" w:color="auto"/>
            <w:bottom w:val="none" w:sz="0" w:space="0" w:color="auto"/>
            <w:right w:val="none" w:sz="0" w:space="0" w:color="auto"/>
          </w:divBdr>
        </w:div>
        <w:div w:id="1485201153">
          <w:marLeft w:val="1166"/>
          <w:marRight w:val="0"/>
          <w:marTop w:val="86"/>
          <w:marBottom w:val="0"/>
          <w:divBdr>
            <w:top w:val="none" w:sz="0" w:space="0" w:color="auto"/>
            <w:left w:val="none" w:sz="0" w:space="0" w:color="auto"/>
            <w:bottom w:val="none" w:sz="0" w:space="0" w:color="auto"/>
            <w:right w:val="none" w:sz="0" w:space="0" w:color="auto"/>
          </w:divBdr>
        </w:div>
        <w:div w:id="1508058914">
          <w:marLeft w:val="1166"/>
          <w:marRight w:val="0"/>
          <w:marTop w:val="86"/>
          <w:marBottom w:val="0"/>
          <w:divBdr>
            <w:top w:val="none" w:sz="0" w:space="0" w:color="auto"/>
            <w:left w:val="none" w:sz="0" w:space="0" w:color="auto"/>
            <w:bottom w:val="none" w:sz="0" w:space="0" w:color="auto"/>
            <w:right w:val="none" w:sz="0" w:space="0" w:color="auto"/>
          </w:divBdr>
        </w:div>
        <w:div w:id="1555190490">
          <w:marLeft w:val="1166"/>
          <w:marRight w:val="0"/>
          <w:marTop w:val="86"/>
          <w:marBottom w:val="0"/>
          <w:divBdr>
            <w:top w:val="none" w:sz="0" w:space="0" w:color="auto"/>
            <w:left w:val="none" w:sz="0" w:space="0" w:color="auto"/>
            <w:bottom w:val="none" w:sz="0" w:space="0" w:color="auto"/>
            <w:right w:val="none" w:sz="0" w:space="0" w:color="auto"/>
          </w:divBdr>
        </w:div>
        <w:div w:id="1829319055">
          <w:marLeft w:val="547"/>
          <w:marRight w:val="0"/>
          <w:marTop w:val="240"/>
          <w:marBottom w:val="0"/>
          <w:divBdr>
            <w:top w:val="none" w:sz="0" w:space="0" w:color="auto"/>
            <w:left w:val="none" w:sz="0" w:space="0" w:color="auto"/>
            <w:bottom w:val="none" w:sz="0" w:space="0" w:color="auto"/>
            <w:right w:val="none" w:sz="0" w:space="0" w:color="auto"/>
          </w:divBdr>
        </w:div>
      </w:divsChild>
    </w:div>
    <w:div w:id="1820877322">
      <w:bodyDiv w:val="1"/>
      <w:marLeft w:val="0"/>
      <w:marRight w:val="0"/>
      <w:marTop w:val="0"/>
      <w:marBottom w:val="0"/>
      <w:divBdr>
        <w:top w:val="none" w:sz="0" w:space="0" w:color="auto"/>
        <w:left w:val="none" w:sz="0" w:space="0" w:color="auto"/>
        <w:bottom w:val="none" w:sz="0" w:space="0" w:color="auto"/>
        <w:right w:val="none" w:sz="0" w:space="0" w:color="auto"/>
      </w:divBdr>
    </w:div>
    <w:div w:id="18543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scc20/t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mbat-artemis.eu/home/" TargetMode="External"/><Relationship Id="rId4" Type="http://schemas.openxmlformats.org/officeDocument/2006/relationships/webSettings" Target="webSettings.xml"/><Relationship Id="rId9" Type="http://schemas.openxmlformats.org/officeDocument/2006/relationships/hyperlink" Target="http://www.asam.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STF ToR - ETSI</vt:lpstr>
    </vt:vector>
  </TitlesOfParts>
  <Company>ETSI secretariat</Company>
  <LinksUpToDate>false</LinksUpToDate>
  <CharactersWithSpaces>27078</CharactersWithSpaces>
  <SharedDoc>false</SharedDoc>
  <HLinks>
    <vt:vector size="18" baseType="variant">
      <vt:variant>
        <vt:i4>327693</vt:i4>
      </vt:variant>
      <vt:variant>
        <vt:i4>12</vt:i4>
      </vt:variant>
      <vt:variant>
        <vt:i4>0</vt:i4>
      </vt:variant>
      <vt:variant>
        <vt:i4>5</vt:i4>
      </vt:variant>
      <vt:variant>
        <vt:lpwstr>http://www.mbat-artemis.eu/home/</vt:lpwstr>
      </vt:variant>
      <vt:variant>
        <vt:lpwstr/>
      </vt:variant>
      <vt:variant>
        <vt:i4>5177428</vt:i4>
      </vt:variant>
      <vt:variant>
        <vt:i4>9</vt:i4>
      </vt:variant>
      <vt:variant>
        <vt:i4>0</vt:i4>
      </vt:variant>
      <vt:variant>
        <vt:i4>5</vt:i4>
      </vt:variant>
      <vt:variant>
        <vt:lpwstr>http://www.asam.net/</vt:lpwstr>
      </vt:variant>
      <vt:variant>
        <vt:lpwstr/>
      </vt:variant>
      <vt:variant>
        <vt:i4>1507341</vt:i4>
      </vt:variant>
      <vt:variant>
        <vt:i4>6</vt:i4>
      </vt:variant>
      <vt:variant>
        <vt:i4>0</vt:i4>
      </vt:variant>
      <vt:variant>
        <vt:i4>5</vt:i4>
      </vt:variant>
      <vt:variant>
        <vt:lpwstr>http://grouper.ieee.org/groups/scc20/tii/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subject/>
  <dc:creator>Alberto Berrini</dc:creator>
  <cp:keywords/>
  <dc:description>Version 4.0 - 24 July 2012</dc:description>
  <cp:lastModifiedBy>Emmanuelle Chaulot-Talmon</cp:lastModifiedBy>
  <cp:revision>2</cp:revision>
  <cp:lastPrinted>2012-05-11T08:51:00Z</cp:lastPrinted>
  <dcterms:created xsi:type="dcterms:W3CDTF">2012-10-17T09:57:00Z</dcterms:created>
  <dcterms:modified xsi:type="dcterms:W3CDTF">2012-10-17T09:57:00Z</dcterms:modified>
</cp:coreProperties>
</file>