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Why TPlan is a good basis for requirements and objectives specification</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Cadzow Communications</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Scott Cadzow</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2012-01-18</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MTS#55</w:t>
            </w:r>
            <w:r w:rsidRPr="00422891">
              <w:rPr>
                <w:rFonts w:ascii="Arial" w:hAnsi="Arial" w:cs="Arial"/>
                <w:sz w:val="18"/>
              </w:rPr>
              <w:t xml:space="preserve"> </w:t>
            </w:r>
            <w:bookmarkEnd w:id="8"/>
            <w:r w:rsidR="00F11466">
              <w:rPr>
                <w:rFonts w:ascii="Arial" w:hAnsi="Arial" w:cs="Arial"/>
              </w:rPr>
              <w:t xml:space="preserve">- </w:t>
            </w:r>
            <w:bookmarkStart w:id="9" w:name="agendaItem"/>
            <w:r w:rsidR="00683AE1" w:rsidRPr="00422891">
              <w:rPr>
                <w:rFonts w:ascii="Arial" w:hAnsi="Arial" w:cs="Arial"/>
                <w:sz w:val="22"/>
                <w:szCs w:val="24"/>
              </w:rPr>
              <w:t>Session 1: Opening Formalities</w:t>
            </w:r>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A short outline of why TPlan is a good basis for requirements and objectives specification</w:t>
      </w:r>
      <w:bookmarkEnd w:id="11"/>
    </w:p>
    <w:p w:rsidR="007A3763" w:rsidRDefault="007A3763" w:rsidP="007833A7">
      <w:pPr>
        <w:rPr>
          <w:rFonts w:ascii="Arial" w:hAnsi="Arial" w:cs="Arial"/>
        </w:rPr>
      </w:pPr>
    </w:p>
    <w:p w:rsidR="00887234" w:rsidRDefault="00015A96" w:rsidP="007833A7">
      <w:pPr>
        <w:rPr>
          <w:rFonts w:ascii="Arial" w:hAnsi="Arial" w:cs="Arial"/>
        </w:rPr>
      </w:pPr>
      <w:r>
        <w:rPr>
          <w:rFonts w:ascii="Arial" w:hAnsi="Arial" w:cs="Arial"/>
        </w:rPr>
        <w:t xml:space="preserve">The starting assertion of why </w:t>
      </w:r>
      <w:proofErr w:type="spellStart"/>
      <w:r>
        <w:rPr>
          <w:rFonts w:ascii="Arial" w:hAnsi="Arial" w:cs="Arial"/>
        </w:rPr>
        <w:t>TPlan</w:t>
      </w:r>
      <w:proofErr w:type="spellEnd"/>
      <w:r>
        <w:rPr>
          <w:rFonts w:ascii="Arial" w:hAnsi="Arial" w:cs="Arial"/>
        </w:rPr>
        <w:t xml:space="preserve"> is underutilised is that </w:t>
      </w:r>
      <w:r w:rsidRPr="00CF4DEE">
        <w:rPr>
          <w:rFonts w:ascii="Arial" w:hAnsi="Arial" w:cs="Arial"/>
          <w:b/>
          <w:i/>
        </w:rPr>
        <w:t>a test purpose is an objective</w:t>
      </w:r>
      <w:r>
        <w:rPr>
          <w:rFonts w:ascii="Arial" w:hAnsi="Arial" w:cs="Arial"/>
        </w:rPr>
        <w:t xml:space="preserve"> – it does not specify the test (that is done in the test cases) but sets the framework for a test.</w:t>
      </w:r>
      <w:r w:rsidR="00CF4DEE">
        <w:rPr>
          <w:rFonts w:ascii="Arial" w:hAnsi="Arial" w:cs="Arial"/>
        </w:rPr>
        <w:t xml:space="preserve"> The relation of TP to TC is similar to that of objective to requirement in core standards. So from the starting assertion we can ask if we can use </w:t>
      </w:r>
      <w:proofErr w:type="spellStart"/>
      <w:r w:rsidR="00CF4DEE">
        <w:rPr>
          <w:rFonts w:ascii="Arial" w:hAnsi="Arial" w:cs="Arial"/>
        </w:rPr>
        <w:t>TPLan</w:t>
      </w:r>
      <w:proofErr w:type="spellEnd"/>
      <w:r w:rsidR="00CF4DEE">
        <w:rPr>
          <w:rFonts w:ascii="Arial" w:hAnsi="Arial" w:cs="Arial"/>
        </w:rPr>
        <w:t xml:space="preserve"> as a notation for the expression of any objective and not just test objectives.</w:t>
      </w:r>
    </w:p>
    <w:p w:rsidR="00CF4DEE" w:rsidRDefault="00CF4DEE" w:rsidP="007833A7">
      <w:pPr>
        <w:rPr>
          <w:rFonts w:ascii="Arial" w:hAnsi="Arial" w:cs="Arial"/>
        </w:rPr>
      </w:pPr>
    </w:p>
    <w:p w:rsidR="00CF4DEE" w:rsidRPr="00CF4DEE" w:rsidRDefault="00CF4DEE" w:rsidP="00CF4DEE">
      <w:pPr>
        <w:rPr>
          <w:rFonts w:ascii="Arial" w:hAnsi="Arial" w:cs="Arial"/>
        </w:rPr>
      </w:pPr>
      <w:r>
        <w:rPr>
          <w:rFonts w:ascii="Arial" w:hAnsi="Arial" w:cs="Arial"/>
        </w:rPr>
        <w:t xml:space="preserve">ES 202 553 </w:t>
      </w:r>
      <w:proofErr w:type="gramStart"/>
      <w:r>
        <w:rPr>
          <w:rFonts w:ascii="Arial" w:hAnsi="Arial" w:cs="Arial"/>
        </w:rPr>
        <w:t>has</w:t>
      </w:r>
      <w:proofErr w:type="gramEnd"/>
      <w:r>
        <w:rPr>
          <w:rFonts w:ascii="Arial" w:hAnsi="Arial" w:cs="Arial"/>
        </w:rPr>
        <w:t xml:space="preserve"> a small set of structural requirements in its notation that if extended can maintain the structure of the </w:t>
      </w:r>
      <w:r w:rsidRPr="00CF4DEE">
        <w:rPr>
          <w:rFonts w:ascii="Arial" w:hAnsi="Arial" w:cs="Arial"/>
        </w:rPr>
        <w:t xml:space="preserve">TP </w:t>
      </w:r>
      <w:r>
        <w:rPr>
          <w:rFonts w:ascii="Arial" w:hAnsi="Arial" w:cs="Arial"/>
        </w:rPr>
        <w:t>a</w:t>
      </w:r>
      <w:r w:rsidRPr="00CF4DEE">
        <w:rPr>
          <w:rFonts w:ascii="Arial" w:hAnsi="Arial" w:cs="Arial"/>
        </w:rPr>
        <w:t>s:</w:t>
      </w:r>
    </w:p>
    <w:p w:rsidR="00CF4DEE" w:rsidRDefault="00CF4DEE" w:rsidP="00CF4DEE">
      <w:pPr>
        <w:rPr>
          <w:rFonts w:ascii="Arial" w:hAnsi="Arial" w:cs="Arial"/>
        </w:rPr>
      </w:pPr>
    </w:p>
    <w:p w:rsidR="00CF4DEE" w:rsidRDefault="00CF4DEE" w:rsidP="00CF4DEE">
      <w:pPr>
        <w:overflowPunct/>
        <w:textAlignment w:val="auto"/>
        <w:rPr>
          <w:rFonts w:ascii="Courier-Oblique" w:eastAsiaTheme="minorHAnsi" w:hAnsi="Courier-Oblique" w:cs="Courier-Oblique"/>
          <w:i/>
          <w:iCs/>
          <w:sz w:val="16"/>
          <w:szCs w:val="16"/>
        </w:rPr>
      </w:pPr>
      <w:r>
        <w:rPr>
          <w:rFonts w:ascii="Courier-Oblique" w:eastAsiaTheme="minorHAnsi" w:hAnsi="Courier-Oblique" w:cs="Courier-Oblique"/>
          <w:i/>
          <w:iCs/>
          <w:sz w:val="16"/>
          <w:szCs w:val="16"/>
        </w:rPr>
        <w:t>Pre-conditions -- optional initial conditions</w:t>
      </w:r>
    </w:p>
    <w:p w:rsidR="00CF4DEE" w:rsidRDefault="00CF4DEE" w:rsidP="00CF4DEE">
      <w:pPr>
        <w:overflowPunct/>
        <w:textAlignment w:val="auto"/>
        <w:rPr>
          <w:rFonts w:ascii="Courier-Oblique" w:eastAsiaTheme="minorHAnsi" w:hAnsi="Courier-Oblique" w:cs="Courier-Oblique"/>
          <w:i/>
          <w:iCs/>
          <w:sz w:val="16"/>
          <w:szCs w:val="16"/>
        </w:rPr>
      </w:pPr>
      <w:r>
        <w:rPr>
          <w:rFonts w:ascii="Courier-Oblique" w:eastAsiaTheme="minorHAnsi" w:hAnsi="Courier-Oblique" w:cs="Courier-Oblique"/>
          <w:i/>
          <w:iCs/>
          <w:sz w:val="16"/>
          <w:szCs w:val="16"/>
        </w:rPr>
        <w:t>TP behaviour description -- comprising sequences of:</w:t>
      </w:r>
    </w:p>
    <w:p w:rsidR="00CF4DEE" w:rsidRDefault="00CF4DEE" w:rsidP="00CF4DEE">
      <w:pPr>
        <w:rPr>
          <w:rFonts w:ascii="Arial" w:hAnsi="Arial" w:cs="Arial"/>
        </w:rPr>
      </w:pPr>
      <w:r>
        <w:rPr>
          <w:rFonts w:ascii="Courier-Oblique" w:eastAsiaTheme="minorHAnsi" w:hAnsi="Courier-Oblique" w:cs="Courier-Oblique"/>
          <w:i/>
          <w:iCs/>
          <w:sz w:val="16"/>
          <w:szCs w:val="16"/>
        </w:rPr>
        <w:t>Stimuli and Responses</w:t>
      </w:r>
    </w:p>
    <w:p w:rsidR="00CF4DEE" w:rsidRDefault="00CF4DEE" w:rsidP="007833A7">
      <w:pPr>
        <w:rPr>
          <w:rFonts w:ascii="Arial" w:hAnsi="Arial" w:cs="Arial"/>
        </w:rPr>
      </w:pPr>
    </w:p>
    <w:p w:rsidR="00154240" w:rsidRPr="00154240" w:rsidRDefault="00CF4DEE" w:rsidP="00154240">
      <w:pPr>
        <w:rPr>
          <w:rFonts w:ascii="Arial" w:hAnsi="Arial" w:cs="Arial"/>
        </w:rPr>
      </w:pPr>
      <w:r>
        <w:rPr>
          <w:rFonts w:ascii="Arial" w:hAnsi="Arial" w:cs="Arial"/>
        </w:rPr>
        <w:t xml:space="preserve">The current restriction in </w:t>
      </w:r>
      <w:proofErr w:type="spellStart"/>
      <w:r>
        <w:rPr>
          <w:rFonts w:ascii="Arial" w:hAnsi="Arial" w:cs="Arial"/>
        </w:rPr>
        <w:t>TPlan</w:t>
      </w:r>
      <w:proofErr w:type="spellEnd"/>
      <w:r>
        <w:rPr>
          <w:rFonts w:ascii="Arial" w:hAnsi="Arial" w:cs="Arial"/>
        </w:rPr>
        <w:t xml:space="preserve"> is that the behaviour description is restricted to the statement "ensure that". Whilst this is grammatically correct in English and can apply to most objective statements. If we look to TR 187 011 which is a guide to the writing of security objectives and requirements we can examine how to transpose </w:t>
      </w:r>
      <w:r w:rsidR="00154240">
        <w:rPr>
          <w:rFonts w:ascii="Arial" w:hAnsi="Arial" w:cs="Arial"/>
        </w:rPr>
        <w:t xml:space="preserve">the guidance given there to an extension of </w:t>
      </w:r>
      <w:proofErr w:type="spellStart"/>
      <w:r w:rsidR="00154240">
        <w:rPr>
          <w:rFonts w:ascii="Arial" w:hAnsi="Arial" w:cs="Arial"/>
        </w:rPr>
        <w:t>TPlan</w:t>
      </w:r>
      <w:proofErr w:type="spellEnd"/>
      <w:r w:rsidR="00154240">
        <w:rPr>
          <w:rFonts w:ascii="Arial" w:hAnsi="Arial" w:cs="Arial"/>
        </w:rPr>
        <w:t xml:space="preserve">. </w:t>
      </w:r>
      <w:r w:rsidR="007F2580">
        <w:rPr>
          <w:rFonts w:ascii="Arial" w:hAnsi="Arial" w:cs="Arial"/>
        </w:rPr>
        <w:t>A well-</w:t>
      </w:r>
      <w:r w:rsidR="00154240" w:rsidRPr="00154240">
        <w:rPr>
          <w:rFonts w:ascii="Arial" w:hAnsi="Arial" w:cs="Arial"/>
        </w:rPr>
        <w:t>formed statement of an objective should contain a number of key words that will indicate the class of functional capabilities likely to assist in getting to a detail requirement. The following example is a clear and concise objective.</w:t>
      </w:r>
    </w:p>
    <w:p w:rsidR="00154240" w:rsidRDefault="00154240" w:rsidP="00154240">
      <w:pPr>
        <w:rPr>
          <w:rFonts w:ascii="Arial" w:hAnsi="Arial" w:cs="Arial"/>
        </w:rPr>
      </w:pPr>
    </w:p>
    <w:p w:rsidR="00CF4DEE" w:rsidRDefault="00154240" w:rsidP="00154240">
      <w:pPr>
        <w:rPr>
          <w:rFonts w:ascii="Arial" w:hAnsi="Arial" w:cs="Arial"/>
        </w:rPr>
      </w:pPr>
      <w:r w:rsidRPr="00154240">
        <w:rPr>
          <w:rFonts w:ascii="Arial" w:hAnsi="Arial" w:cs="Arial"/>
        </w:rPr>
        <w:t>EXAMPLE:</w:t>
      </w:r>
      <w:r w:rsidRPr="00154240">
        <w:rPr>
          <w:rFonts w:ascii="Arial" w:hAnsi="Arial" w:cs="Arial"/>
        </w:rPr>
        <w:tab/>
      </w:r>
      <w:r>
        <w:rPr>
          <w:rFonts w:ascii="Arial" w:hAnsi="Arial" w:cs="Arial"/>
        </w:rPr>
        <w:br/>
      </w:r>
      <w:r w:rsidRPr="00154240">
        <w:rPr>
          <w:rFonts w:ascii="Arial" w:hAnsi="Arial" w:cs="Arial"/>
        </w:rPr>
        <w:t xml:space="preserve">An NGN should be able to </w:t>
      </w:r>
      <w:r w:rsidRPr="00154240">
        <w:rPr>
          <w:rFonts w:ascii="Arial" w:hAnsi="Arial" w:cs="Arial"/>
          <w:b/>
          <w:i/>
        </w:rPr>
        <w:t>restrict access</w:t>
      </w:r>
      <w:r w:rsidRPr="00154240">
        <w:rPr>
          <w:rFonts w:ascii="Arial" w:hAnsi="Arial" w:cs="Arial"/>
        </w:rPr>
        <w:t xml:space="preserve"> to its services so that they are only available to </w:t>
      </w:r>
      <w:r w:rsidRPr="00154240">
        <w:rPr>
          <w:rFonts w:ascii="Arial" w:hAnsi="Arial" w:cs="Arial"/>
          <w:b/>
          <w:i/>
        </w:rPr>
        <w:t>validated known users</w:t>
      </w:r>
      <w:r w:rsidRPr="00154240">
        <w:rPr>
          <w:rFonts w:ascii="Arial" w:hAnsi="Arial" w:cs="Arial"/>
        </w:rPr>
        <w:t>.</w:t>
      </w:r>
    </w:p>
    <w:p w:rsidR="00CF4DEE" w:rsidRDefault="00CF4DEE" w:rsidP="007833A7">
      <w:pPr>
        <w:rPr>
          <w:rFonts w:ascii="Arial" w:hAnsi="Arial" w:cs="Arial"/>
        </w:rPr>
      </w:pPr>
    </w:p>
    <w:p w:rsidR="00154240" w:rsidRDefault="00154240" w:rsidP="007833A7">
      <w:pPr>
        <w:rPr>
          <w:rFonts w:ascii="Arial" w:hAnsi="Arial" w:cs="Arial"/>
        </w:rPr>
      </w:pPr>
      <w:r>
        <w:rPr>
          <w:rFonts w:ascii="Arial" w:hAnsi="Arial" w:cs="Arial"/>
        </w:rPr>
        <w:t xml:space="preserve">If we use the </w:t>
      </w:r>
      <w:proofErr w:type="spellStart"/>
      <w:r>
        <w:rPr>
          <w:rFonts w:ascii="Arial" w:hAnsi="Arial" w:cs="Arial"/>
        </w:rPr>
        <w:t>TPlan</w:t>
      </w:r>
      <w:proofErr w:type="spellEnd"/>
      <w:r>
        <w:rPr>
          <w:rFonts w:ascii="Arial" w:hAnsi="Arial" w:cs="Arial"/>
        </w:rPr>
        <w:t xml:space="preserve"> structure of:</w:t>
      </w:r>
    </w:p>
    <w:p w:rsidR="00154240" w:rsidRDefault="00154240" w:rsidP="007833A7">
      <w:pPr>
        <w:rPr>
          <w:rFonts w:ascii="Arial" w:hAnsi="Arial" w:cs="Arial"/>
        </w:rPr>
      </w:pPr>
    </w:p>
    <w:p w:rsidR="00154240" w:rsidRDefault="00154240" w:rsidP="00154240">
      <w:pPr>
        <w:overflowPunct/>
        <w:textAlignment w:val="auto"/>
        <w:rPr>
          <w:rFonts w:ascii="Courier" w:eastAsiaTheme="minorHAnsi" w:hAnsi="Courier" w:cs="Courier"/>
          <w:sz w:val="16"/>
          <w:szCs w:val="16"/>
        </w:rPr>
      </w:pPr>
      <w:proofErr w:type="gramStart"/>
      <w:r>
        <w:rPr>
          <w:rFonts w:ascii="Courier-Bold" w:eastAsiaTheme="minorHAnsi" w:hAnsi="Courier-Bold" w:cs="Courier-Bold"/>
          <w:b/>
          <w:bCs/>
          <w:sz w:val="16"/>
          <w:szCs w:val="16"/>
        </w:rPr>
        <w:t>ensure</w:t>
      </w:r>
      <w:proofErr w:type="gramEnd"/>
      <w:r>
        <w:rPr>
          <w:rFonts w:ascii="Courier-Bold" w:eastAsiaTheme="minorHAnsi" w:hAnsi="Courier-Bold" w:cs="Courier-Bold"/>
          <w:b/>
          <w:bCs/>
          <w:sz w:val="16"/>
          <w:szCs w:val="16"/>
        </w:rPr>
        <w:t xml:space="preserve"> that </w:t>
      </w:r>
      <w:r>
        <w:rPr>
          <w:rFonts w:ascii="Courier" w:eastAsiaTheme="minorHAnsi" w:hAnsi="Courier" w:cs="Courier"/>
          <w:sz w:val="16"/>
          <w:szCs w:val="16"/>
        </w:rPr>
        <w:t>{</w:t>
      </w:r>
    </w:p>
    <w:p w:rsidR="00154240" w:rsidRDefault="007F2580" w:rsidP="00154240">
      <w:pPr>
        <w:overflowPunct/>
        <w:textAlignment w:val="auto"/>
        <w:rPr>
          <w:rFonts w:ascii="Courier" w:eastAsiaTheme="minorHAnsi" w:hAnsi="Courier" w:cs="Courier"/>
          <w:sz w:val="16"/>
          <w:szCs w:val="16"/>
        </w:rPr>
      </w:pPr>
      <w:r>
        <w:rPr>
          <w:rFonts w:ascii="Courier-Bold" w:eastAsiaTheme="minorHAnsi" w:hAnsi="Courier-Bold" w:cs="Courier-Bold"/>
          <w:b/>
          <w:bCs/>
          <w:sz w:val="16"/>
          <w:szCs w:val="16"/>
        </w:rPr>
        <w:tab/>
      </w:r>
      <w:proofErr w:type="gramStart"/>
      <w:r w:rsidR="00154240">
        <w:rPr>
          <w:rFonts w:ascii="Courier-Bold" w:eastAsiaTheme="minorHAnsi" w:hAnsi="Courier-Bold" w:cs="Courier-Bold"/>
          <w:b/>
          <w:bCs/>
          <w:sz w:val="16"/>
          <w:szCs w:val="16"/>
        </w:rPr>
        <w:t>when</w:t>
      </w:r>
      <w:proofErr w:type="gramEnd"/>
      <w:r w:rsidR="00154240">
        <w:rPr>
          <w:rFonts w:ascii="Courier-Bold" w:eastAsiaTheme="minorHAnsi" w:hAnsi="Courier-Bold" w:cs="Courier-Bold"/>
          <w:b/>
          <w:b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stimuli described from the viewpoint of the IUT</w:t>
      </w:r>
      <w:r w:rsidR="00154240">
        <w:rPr>
          <w:rFonts w:ascii="Courier" w:eastAsiaTheme="minorHAnsi" w:hAnsi="Courier" w:cs="Courier"/>
          <w:sz w:val="16"/>
          <w:szCs w:val="16"/>
        </w:rPr>
        <w:t>.</w:t>
      </w:r>
    </w:p>
    <w:p w:rsidR="00154240" w:rsidRDefault="007F2580" w:rsidP="00154240">
      <w:pPr>
        <w:overflowPunct/>
        <w:textAlignment w:val="auto"/>
        <w:rPr>
          <w:rFonts w:ascii="Courier-Oblique" w:eastAsiaTheme="minorHAnsi" w:hAnsi="Courier-Oblique" w:cs="Courier-Oblique"/>
          <w:i/>
          <w:iCs/>
          <w:sz w:val="16"/>
          <w:szCs w:val="16"/>
        </w:rPr>
      </w:pPr>
      <w:r>
        <w:rPr>
          <w:rFonts w:ascii="Courier-Bold" w:eastAsiaTheme="minorHAnsi" w:hAnsi="Courier-Bold" w:cs="Courier-Bold"/>
          <w:b/>
          <w:bCs/>
          <w:sz w:val="16"/>
          <w:szCs w:val="16"/>
        </w:rPr>
        <w:tab/>
      </w:r>
      <w:proofErr w:type="gramStart"/>
      <w:r w:rsidR="00154240">
        <w:rPr>
          <w:rFonts w:ascii="Courier-Bold" w:eastAsiaTheme="minorHAnsi" w:hAnsi="Courier-Bold" w:cs="Courier-Bold"/>
          <w:b/>
          <w:bCs/>
          <w:sz w:val="16"/>
          <w:szCs w:val="16"/>
        </w:rPr>
        <w:t>then</w:t>
      </w:r>
      <w:proofErr w:type="gramEnd"/>
      <w:r w:rsidR="00154240">
        <w:rPr>
          <w:rFonts w:ascii="Courier-Bold" w:eastAsiaTheme="minorHAnsi" w:hAnsi="Courier-Bold" w:cs="Courier-Bold"/>
          <w:b/>
          <w:b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IUT responses and other behaviour</w:t>
      </w:r>
    </w:p>
    <w:p w:rsidR="00154240" w:rsidRDefault="007F2580" w:rsidP="00154240">
      <w:pPr>
        <w:rPr>
          <w:rFonts w:ascii="Arial" w:hAnsi="Arial" w:cs="Arial"/>
        </w:rPr>
      </w:pPr>
      <w:r>
        <w:rPr>
          <w:rFonts w:ascii="Courier" w:eastAsiaTheme="minorHAnsi" w:hAnsi="Courier" w:cs="Courier"/>
          <w:sz w:val="16"/>
          <w:szCs w:val="16"/>
        </w:rPr>
        <w:tab/>
        <w:t xml:space="preserve">    </w:t>
      </w:r>
      <w:r w:rsidR="00154240">
        <w:rPr>
          <w:rFonts w:ascii="Courier" w:eastAsiaTheme="minorHAnsi" w:hAnsi="Courier" w:cs="Courier"/>
          <w:sz w:val="16"/>
          <w:szCs w:val="16"/>
        </w:rPr>
        <w:t>}</w:t>
      </w:r>
    </w:p>
    <w:p w:rsidR="00154240" w:rsidRDefault="00154240" w:rsidP="007833A7">
      <w:pPr>
        <w:rPr>
          <w:rFonts w:ascii="Arial" w:hAnsi="Arial" w:cs="Arial"/>
        </w:rPr>
      </w:pPr>
    </w:p>
    <w:p w:rsidR="00154240" w:rsidRDefault="00154240" w:rsidP="007833A7">
      <w:pPr>
        <w:rPr>
          <w:rFonts w:ascii="Arial" w:hAnsi="Arial" w:cs="Arial"/>
        </w:rPr>
      </w:pPr>
      <w:r>
        <w:rPr>
          <w:rFonts w:ascii="Arial" w:hAnsi="Arial" w:cs="Arial"/>
        </w:rPr>
        <w:t xml:space="preserve">We could map </w:t>
      </w:r>
      <w:proofErr w:type="spellStart"/>
      <w:r>
        <w:rPr>
          <w:rFonts w:ascii="Arial" w:hAnsi="Arial" w:cs="Arial"/>
        </w:rPr>
        <w:t>TPlan</w:t>
      </w:r>
      <w:proofErr w:type="spellEnd"/>
      <w:r>
        <w:rPr>
          <w:rFonts w:ascii="Arial" w:hAnsi="Arial" w:cs="Arial"/>
        </w:rPr>
        <w:t xml:space="preserve"> to the example from TR 87 011 by re-thinking the statement in the overall context of precondition =&gt; stimulus =&gt; response, remembering that we are not attempting to define how the objective is fulfilled (that is the purpose of the next step of detailed requirements).</w:t>
      </w:r>
    </w:p>
    <w:p w:rsidR="00154240" w:rsidRDefault="00154240" w:rsidP="007833A7">
      <w:pPr>
        <w:rPr>
          <w:rFonts w:ascii="Arial" w:hAnsi="Arial" w:cs="Arial"/>
        </w:rPr>
      </w:pPr>
    </w:p>
    <w:p w:rsidR="00154240" w:rsidRPr="007F2580" w:rsidRDefault="007F2580" w:rsidP="007F2580">
      <w:pPr>
        <w:overflowPunct/>
        <w:textAlignment w:val="auto"/>
        <w:rPr>
          <w:rFonts w:ascii="Courier-Bold" w:eastAsiaTheme="minorHAnsi" w:hAnsi="Courier-Bold" w:cs="Courier-Bold"/>
          <w:b/>
          <w:bCs/>
          <w:sz w:val="16"/>
          <w:szCs w:val="16"/>
        </w:rPr>
      </w:pPr>
      <w:proofErr w:type="gramStart"/>
      <w:r>
        <w:rPr>
          <w:rFonts w:ascii="Courier-Bold" w:eastAsiaTheme="minorHAnsi" w:hAnsi="Courier-Bold" w:cs="Courier-Bold"/>
          <w:b/>
          <w:bCs/>
          <w:sz w:val="16"/>
          <w:szCs w:val="16"/>
        </w:rPr>
        <w:t>e</w:t>
      </w:r>
      <w:r w:rsidR="00154240" w:rsidRPr="007F2580">
        <w:rPr>
          <w:rFonts w:ascii="Courier-Bold" w:eastAsiaTheme="minorHAnsi" w:hAnsi="Courier-Bold" w:cs="Courier-Bold"/>
          <w:b/>
          <w:bCs/>
          <w:sz w:val="16"/>
          <w:szCs w:val="16"/>
        </w:rPr>
        <w:t>nsure</w:t>
      </w:r>
      <w:proofErr w:type="gramEnd"/>
      <w:r w:rsidR="00154240" w:rsidRPr="007F2580">
        <w:rPr>
          <w:rFonts w:ascii="Courier-Bold" w:eastAsiaTheme="minorHAnsi" w:hAnsi="Courier-Bold" w:cs="Courier-Bold"/>
          <w:b/>
          <w:bCs/>
          <w:sz w:val="16"/>
          <w:szCs w:val="16"/>
        </w:rPr>
        <w:t xml:space="preserve"> that {</w:t>
      </w:r>
    </w:p>
    <w:p w:rsidR="00154240" w:rsidRPr="007F2580" w:rsidRDefault="007F2580" w:rsidP="007F2580">
      <w:pPr>
        <w:overflowPunct/>
        <w:textAlignment w:val="auto"/>
        <w:rPr>
          <w:rFonts w:ascii="Courier-Bold" w:eastAsiaTheme="minorHAnsi" w:hAnsi="Courier-Bold" w:cs="Courier-Bold"/>
          <w:b/>
          <w:bCs/>
          <w:sz w:val="16"/>
          <w:szCs w:val="16"/>
        </w:rPr>
      </w:pPr>
      <w:r>
        <w:rPr>
          <w:rFonts w:ascii="Courier-Bold" w:eastAsiaTheme="minorHAnsi" w:hAnsi="Courier-Bold" w:cs="Courier-Bold"/>
          <w:b/>
          <w:bCs/>
          <w:sz w:val="16"/>
          <w:szCs w:val="16"/>
        </w:rPr>
        <w:tab/>
      </w:r>
      <w:proofErr w:type="gramStart"/>
      <w:r>
        <w:rPr>
          <w:rFonts w:ascii="Courier-Bold" w:eastAsiaTheme="minorHAnsi" w:hAnsi="Courier-Bold" w:cs="Courier-Bold"/>
          <w:b/>
          <w:bCs/>
          <w:sz w:val="16"/>
          <w:szCs w:val="16"/>
        </w:rPr>
        <w:t>w</w:t>
      </w:r>
      <w:r w:rsidR="00154240" w:rsidRPr="007F2580">
        <w:rPr>
          <w:rFonts w:ascii="Courier-Bold" w:eastAsiaTheme="minorHAnsi" w:hAnsi="Courier-Bold" w:cs="Courier-Bold"/>
          <w:b/>
          <w:bCs/>
          <w:sz w:val="16"/>
          <w:szCs w:val="16"/>
        </w:rPr>
        <w:t>hen</w:t>
      </w:r>
      <w:proofErr w:type="gramEnd"/>
      <w:r w:rsidR="00154240" w:rsidRPr="007F2580">
        <w:rPr>
          <w:rFonts w:ascii="Courier-Bold" w:eastAsiaTheme="minorHAnsi" w:hAnsi="Courier-Bold" w:cs="Courier-Bold"/>
          <w:b/>
          <w:bCs/>
          <w:sz w:val="16"/>
          <w:szCs w:val="16"/>
        </w:rPr>
        <w:t xml:space="preserve"> {service is accessed}</w:t>
      </w:r>
    </w:p>
    <w:p w:rsidR="00154240" w:rsidRDefault="007F2580" w:rsidP="007F2580">
      <w:pPr>
        <w:overflowPunct/>
        <w:textAlignment w:val="auto"/>
        <w:rPr>
          <w:rFonts w:ascii="Courier-Bold" w:eastAsiaTheme="minorHAnsi" w:hAnsi="Courier-Bold" w:cs="Courier-Bold"/>
          <w:b/>
          <w:bCs/>
          <w:sz w:val="16"/>
          <w:szCs w:val="16"/>
        </w:rPr>
      </w:pPr>
      <w:r>
        <w:rPr>
          <w:rFonts w:ascii="Courier-Bold" w:eastAsiaTheme="minorHAnsi" w:hAnsi="Courier-Bold" w:cs="Courier-Bold"/>
          <w:b/>
          <w:bCs/>
          <w:sz w:val="16"/>
          <w:szCs w:val="16"/>
        </w:rPr>
        <w:tab/>
      </w:r>
      <w:proofErr w:type="gramStart"/>
      <w:r>
        <w:rPr>
          <w:rFonts w:ascii="Courier-Bold" w:eastAsiaTheme="minorHAnsi" w:hAnsi="Courier-Bold" w:cs="Courier-Bold"/>
          <w:b/>
          <w:bCs/>
          <w:sz w:val="16"/>
          <w:szCs w:val="16"/>
        </w:rPr>
        <w:t>t</w:t>
      </w:r>
      <w:r w:rsidR="00154240" w:rsidRPr="007F2580">
        <w:rPr>
          <w:rFonts w:ascii="Courier-Bold" w:eastAsiaTheme="minorHAnsi" w:hAnsi="Courier-Bold" w:cs="Courier-Bold"/>
          <w:b/>
          <w:bCs/>
          <w:sz w:val="16"/>
          <w:szCs w:val="16"/>
        </w:rPr>
        <w:t>hen</w:t>
      </w:r>
      <w:proofErr w:type="gramEnd"/>
      <w:r w:rsidR="00154240" w:rsidRPr="007F2580">
        <w:rPr>
          <w:rFonts w:ascii="Courier-Bold" w:eastAsiaTheme="minorHAnsi" w:hAnsi="Courier-Bold" w:cs="Courier-Bold"/>
          <w:b/>
          <w:bCs/>
          <w:sz w:val="16"/>
          <w:szCs w:val="16"/>
        </w:rPr>
        <w:t xml:space="preserve"> {the accessing user is known and validated}</w:t>
      </w:r>
    </w:p>
    <w:p w:rsidR="007F2580" w:rsidRDefault="007F2580" w:rsidP="007F2580">
      <w:pPr>
        <w:overflowPunct/>
        <w:textAlignment w:val="auto"/>
        <w:rPr>
          <w:rFonts w:ascii="Courier-Bold" w:eastAsiaTheme="minorHAnsi" w:hAnsi="Courier-Bold" w:cs="Courier-Bold"/>
          <w:b/>
          <w:bCs/>
          <w:sz w:val="16"/>
          <w:szCs w:val="16"/>
        </w:rPr>
      </w:pPr>
      <w:r>
        <w:rPr>
          <w:rFonts w:ascii="Courier-Bold" w:eastAsiaTheme="minorHAnsi" w:hAnsi="Courier-Bold" w:cs="Courier-Bold"/>
          <w:b/>
          <w:bCs/>
          <w:sz w:val="16"/>
          <w:szCs w:val="16"/>
        </w:rPr>
        <w:tab/>
        <w:t xml:space="preserve">    }</w:t>
      </w:r>
    </w:p>
    <w:p w:rsidR="007F2580" w:rsidRDefault="007F2580" w:rsidP="007F2580">
      <w:pPr>
        <w:overflowPunct/>
        <w:textAlignment w:val="auto"/>
        <w:rPr>
          <w:rFonts w:ascii="Courier-Bold" w:eastAsiaTheme="minorHAnsi" w:hAnsi="Courier-Bold" w:cs="Courier-Bold"/>
          <w:b/>
          <w:bCs/>
          <w:sz w:val="16"/>
          <w:szCs w:val="16"/>
        </w:rPr>
      </w:pPr>
    </w:p>
    <w:p w:rsidR="007F2580" w:rsidRPr="007F2580" w:rsidRDefault="007F2580" w:rsidP="007F2580">
      <w:pPr>
        <w:rPr>
          <w:rFonts w:ascii="Arial" w:hAnsi="Arial" w:cs="Arial"/>
        </w:rPr>
      </w:pPr>
      <w:r>
        <w:rPr>
          <w:rFonts w:ascii="Arial" w:hAnsi="Arial" w:cs="Arial"/>
        </w:rPr>
        <w:lastRenderedPageBreak/>
        <w:t xml:space="preserve">The intent of updating </w:t>
      </w:r>
      <w:proofErr w:type="spellStart"/>
      <w:r>
        <w:rPr>
          <w:rFonts w:ascii="Arial" w:hAnsi="Arial" w:cs="Arial"/>
        </w:rPr>
        <w:t>TPlan</w:t>
      </w:r>
      <w:proofErr w:type="spellEnd"/>
      <w:r>
        <w:rPr>
          <w:rFonts w:ascii="Arial" w:hAnsi="Arial" w:cs="Arial"/>
        </w:rPr>
        <w:t xml:space="preserve"> is to extend its applicability to environments other than testing. In the first instance it is proposed to address the security domain using TR 187 011 as an example set. This will allow </w:t>
      </w:r>
      <w:proofErr w:type="spellStart"/>
      <w:r>
        <w:rPr>
          <w:rFonts w:ascii="Arial" w:hAnsi="Arial" w:cs="Arial"/>
        </w:rPr>
        <w:t>TPlan</w:t>
      </w:r>
      <w:proofErr w:type="spellEnd"/>
      <w:r>
        <w:rPr>
          <w:rFonts w:ascii="Arial" w:hAnsi="Arial" w:cs="Arial"/>
        </w:rPr>
        <w:t xml:space="preserve"> to be extended to the entire ISO/IEC 15408 functional capability set and allow users of </w:t>
      </w:r>
      <w:proofErr w:type="spellStart"/>
      <w:r>
        <w:rPr>
          <w:rFonts w:ascii="Arial" w:hAnsi="Arial" w:cs="Arial"/>
        </w:rPr>
        <w:t>TPlan</w:t>
      </w:r>
      <w:proofErr w:type="spellEnd"/>
      <w:r>
        <w:rPr>
          <w:rFonts w:ascii="Arial" w:hAnsi="Arial" w:cs="Arial"/>
        </w:rPr>
        <w:t xml:space="preserve"> to take their system specific key words and apply them to the library of keywords and structures of ISO/IEC</w:t>
      </w:r>
      <w:r w:rsidRPr="007F2580">
        <w:rPr>
          <w:rFonts w:ascii="Arial" w:hAnsi="Arial" w:cs="Arial"/>
        </w:rPr>
        <w:t> 15408.</w:t>
      </w:r>
    </w:p>
    <w:p w:rsidR="007F2580" w:rsidRPr="007F2580" w:rsidRDefault="007F2580" w:rsidP="007F2580">
      <w:pPr>
        <w:rPr>
          <w:rFonts w:ascii="Arial" w:hAnsi="Arial" w:cs="Arial"/>
        </w:rPr>
      </w:pPr>
    </w:p>
    <w:p w:rsidR="007F2580" w:rsidRDefault="007F2580" w:rsidP="007F2580">
      <w:pPr>
        <w:rPr>
          <w:rFonts w:ascii="Arial" w:hAnsi="Arial" w:cs="Arial"/>
        </w:rPr>
      </w:pPr>
      <w:r w:rsidRPr="007F2580">
        <w:rPr>
          <w:rFonts w:ascii="Arial" w:hAnsi="Arial" w:cs="Arial"/>
        </w:rPr>
        <w:t xml:space="preserve">We may </w:t>
      </w:r>
      <w:r>
        <w:rPr>
          <w:rFonts w:ascii="Arial" w:hAnsi="Arial" w:cs="Arial"/>
        </w:rPr>
        <w:t xml:space="preserve">also look to extend </w:t>
      </w:r>
      <w:proofErr w:type="spellStart"/>
      <w:r>
        <w:rPr>
          <w:rFonts w:ascii="Arial" w:hAnsi="Arial" w:cs="Arial"/>
        </w:rPr>
        <w:t>TPlan</w:t>
      </w:r>
      <w:proofErr w:type="spellEnd"/>
      <w:r>
        <w:rPr>
          <w:rFonts w:ascii="Arial" w:hAnsi="Arial" w:cs="Arial"/>
        </w:rPr>
        <w:t xml:space="preserve"> to have alternatives to the "ensure that" statement to allow use of </w:t>
      </w:r>
      <w:proofErr w:type="spellStart"/>
      <w:r>
        <w:rPr>
          <w:rFonts w:ascii="Arial" w:hAnsi="Arial" w:cs="Arial"/>
        </w:rPr>
        <w:t>TPlan</w:t>
      </w:r>
      <w:proofErr w:type="spellEnd"/>
      <w:r>
        <w:rPr>
          <w:rFonts w:ascii="Arial" w:hAnsi="Arial" w:cs="Arial"/>
        </w:rPr>
        <w:t xml:space="preserve"> as a tool in making and validating security assertions but this is for further study as we look to extend </w:t>
      </w:r>
      <w:proofErr w:type="spellStart"/>
      <w:r>
        <w:rPr>
          <w:rFonts w:ascii="Arial" w:hAnsi="Arial" w:cs="Arial"/>
        </w:rPr>
        <w:t>TPlan</w:t>
      </w:r>
      <w:proofErr w:type="spellEnd"/>
      <w:r>
        <w:rPr>
          <w:rFonts w:ascii="Arial" w:hAnsi="Arial" w:cs="Arial"/>
        </w:rPr>
        <w:t xml:space="preserve"> away from a test purpose notation to an objective notation and supporting language.</w:t>
      </w:r>
    </w:p>
    <w:p w:rsidR="007F2580" w:rsidRDefault="007F2580" w:rsidP="007F2580">
      <w:pPr>
        <w:rPr>
          <w:rFonts w:ascii="Arial" w:hAnsi="Arial" w:cs="Arial"/>
        </w:rPr>
      </w:pPr>
    </w:p>
    <w:p w:rsidR="007F2580" w:rsidRPr="007F2580" w:rsidRDefault="007F2580" w:rsidP="007F2580">
      <w:pPr>
        <w:rPr>
          <w:rFonts w:ascii="Arial" w:hAnsi="Arial" w:cs="Arial"/>
        </w:rPr>
      </w:pPr>
      <w:r>
        <w:rPr>
          <w:rFonts w:ascii="Arial" w:hAnsi="Arial" w:cs="Arial"/>
        </w:rPr>
        <w:t>In addition as we move from notation to language we can look to enforce the syntax and semantics of objectives statement, and ideally ensure that they are correctly translated to functional and detail requirements – in the same way we could reinforce the link between TP and TC.</w:t>
      </w:r>
      <w:bookmarkStart w:id="12" w:name="_GoBack"/>
      <w:bookmarkEnd w:id="12"/>
    </w:p>
    <w:sectPr w:rsidR="007F2580" w:rsidRPr="007F2580" w:rsidSect="00451055">
      <w:headerReference w:type="default" r:id="rId9"/>
      <w:footerReference w:type="default" r:id="rId10"/>
      <w:pgSz w:w="11906" w:h="16838"/>
      <w:pgMar w:top="1247" w:right="1134" w:bottom="1440"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EC" w:rsidRDefault="00832DEC" w:rsidP="00D9435B">
      <w:r>
        <w:separator/>
      </w:r>
    </w:p>
  </w:endnote>
  <w:endnote w:type="continuationSeparator" w:id="0">
    <w:p w:rsidR="00832DEC" w:rsidRDefault="00832DEC"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Oblique">
    <w:panose1 w:val="00000000000000000000"/>
    <w:charset w:val="00"/>
    <w:family w:val="moder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7F2580">
      <w:rPr>
        <w:rFonts w:ascii="Arial" w:hAnsi="Arial" w:cs="Arial"/>
        <w:noProof/>
      </w:rPr>
      <w:t>2</w:t>
    </w:r>
    <w:r w:rsidR="002D2E6B" w:rsidRPr="0083399D">
      <w:rPr>
        <w:rFonts w:ascii="Arial" w:hAnsi="Arial" w:cs="Arial"/>
      </w:rPr>
      <w:fldChar w:fldCharType="end"/>
    </w:r>
    <w:r w:rsidRPr="0083399D">
      <w:rPr>
        <w:rFonts w:ascii="Arial" w:hAnsi="Arial" w:cs="Arial"/>
      </w:rPr>
      <w:t>/</w:t>
    </w:r>
    <w:r w:rsidR="00832DEC">
      <w:fldChar w:fldCharType="begin"/>
    </w:r>
    <w:r w:rsidR="00832DEC">
      <w:instrText xml:space="preserve"> NUMPAGES   \* MERGEFORMAT </w:instrText>
    </w:r>
    <w:r w:rsidR="00832DEC">
      <w:fldChar w:fldCharType="separate"/>
    </w:r>
    <w:r w:rsidR="007F2580" w:rsidRPr="007F2580">
      <w:rPr>
        <w:rFonts w:ascii="Arial" w:hAnsi="Arial" w:cs="Arial"/>
        <w:noProof/>
      </w:rPr>
      <w:t>2</w:t>
    </w:r>
    <w:r w:rsidR="00832DEC">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EC" w:rsidRDefault="00832DEC" w:rsidP="00D9435B">
      <w:r>
        <w:separator/>
      </w:r>
    </w:p>
  </w:footnote>
  <w:footnote w:type="continuationSeparator" w:id="0">
    <w:p w:rsidR="00832DEC" w:rsidRDefault="00832DEC"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MTS(12)55_007</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35B"/>
    <w:rsid w:val="0000428F"/>
    <w:rsid w:val="00015A96"/>
    <w:rsid w:val="0002568A"/>
    <w:rsid w:val="000A6B52"/>
    <w:rsid w:val="000C4CB6"/>
    <w:rsid w:val="00154240"/>
    <w:rsid w:val="00181471"/>
    <w:rsid w:val="00191D22"/>
    <w:rsid w:val="001B09AD"/>
    <w:rsid w:val="001D62B3"/>
    <w:rsid w:val="001E15D8"/>
    <w:rsid w:val="00205C5D"/>
    <w:rsid w:val="00205CF2"/>
    <w:rsid w:val="002200F3"/>
    <w:rsid w:val="002676F5"/>
    <w:rsid w:val="002A3728"/>
    <w:rsid w:val="002D2E6B"/>
    <w:rsid w:val="002F1FCD"/>
    <w:rsid w:val="002F5958"/>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7F2580"/>
    <w:rsid w:val="00832DEC"/>
    <w:rsid w:val="00832E39"/>
    <w:rsid w:val="0083399D"/>
    <w:rsid w:val="008745A4"/>
    <w:rsid w:val="00877C83"/>
    <w:rsid w:val="00887234"/>
    <w:rsid w:val="008B51CE"/>
    <w:rsid w:val="008D5477"/>
    <w:rsid w:val="008F7EE0"/>
    <w:rsid w:val="0091037B"/>
    <w:rsid w:val="00912D71"/>
    <w:rsid w:val="00996DA5"/>
    <w:rsid w:val="00A52B10"/>
    <w:rsid w:val="00A53EDB"/>
    <w:rsid w:val="00B179D6"/>
    <w:rsid w:val="00B22603"/>
    <w:rsid w:val="00B44A99"/>
    <w:rsid w:val="00B80A28"/>
    <w:rsid w:val="00B837B4"/>
    <w:rsid w:val="00BA5448"/>
    <w:rsid w:val="00BC2F02"/>
    <w:rsid w:val="00BE7AFE"/>
    <w:rsid w:val="00BF503A"/>
    <w:rsid w:val="00C74523"/>
    <w:rsid w:val="00CA135C"/>
    <w:rsid w:val="00CA6465"/>
    <w:rsid w:val="00CC07A5"/>
    <w:rsid w:val="00CF4DEE"/>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20B3-1C5B-4270-934E-DFA8CB4C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Capgemini</dc:creator>
  <cp:keywords/>
  <dc:description>20110621 - Template upated:1- L&amp;R margins set to 2cm 2-Header table left indent set to 0</dc:description>
  <cp:lastModifiedBy>Scott W Cadzow</cp:lastModifiedBy>
  <cp:revision>5</cp:revision>
  <cp:lastPrinted>2010-12-06T15:51:00Z</cp:lastPrinted>
  <dcterms:created xsi:type="dcterms:W3CDTF">2011-07-05T15:06:00Z</dcterms:created>
  <dcterms:modified xsi:type="dcterms:W3CDTF">2012-01-19T10:41:00Z</dcterms:modified>
</cp:coreProperties>
</file>