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BB65AB" w:rsidRDefault="00D9435B" w:rsidP="00196D5B">
            <w:pPr>
              <w:tabs>
                <w:tab w:val="left" w:pos="1701"/>
              </w:tabs>
              <w:jc w:val="right"/>
              <w:rPr>
                <w:rFonts w:asciiTheme="minorHAnsi" w:hAnsiTheme="minorHAnsi" w:cstheme="minorHAnsi"/>
                <w:b/>
                <w:sz w:val="24"/>
                <w:szCs w:val="24"/>
              </w:rPr>
            </w:pPr>
            <w:r w:rsidRPr="00BB65AB">
              <w:rPr>
                <w:rFonts w:asciiTheme="minorHAnsi" w:hAnsiTheme="minorHAnsi" w:cstheme="minorHAnsi"/>
                <w:b/>
                <w:sz w:val="28"/>
                <w:szCs w:val="24"/>
              </w:rPr>
              <w:t>Title</w:t>
            </w:r>
            <w:r w:rsidRPr="00BB65AB">
              <w:rPr>
                <w:rFonts w:asciiTheme="minorHAnsi" w:hAnsiTheme="minorHAnsi" w:cstheme="minorHAnsi"/>
                <w:b/>
                <w:color w:val="FF0000"/>
                <w:sz w:val="28"/>
                <w:szCs w:val="24"/>
              </w:rPr>
              <w:t>*</w:t>
            </w:r>
            <w:r w:rsidRPr="00BB65A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0" w:name="title"/>
            <w:r>
              <w:rPr>
                <w:rFonts w:ascii="Arial" w:hAnsi="Arial" w:cs="Arial"/>
                <w:color w:val="0000FF"/>
                <w:sz w:val="24"/>
                <w:szCs w:val="24"/>
              </w:rPr>
              <w:t>Notes on the first draft of the revised ES 201 553</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BB65A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BB65AB" w:rsidRDefault="00D9435B" w:rsidP="00196D5B">
            <w:pPr>
              <w:tabs>
                <w:tab w:val="left" w:pos="1701"/>
              </w:tabs>
              <w:jc w:val="right"/>
              <w:rPr>
                <w:rFonts w:asciiTheme="minorHAnsi" w:hAnsiTheme="minorHAnsi" w:cstheme="minorHAnsi"/>
                <w:b/>
              </w:rPr>
            </w:pPr>
            <w:r w:rsidRPr="00BB65AB">
              <w:rPr>
                <w:rFonts w:asciiTheme="minorHAnsi" w:hAnsiTheme="minorHAnsi" w:cstheme="minorHAnsi"/>
                <w:b/>
              </w:rPr>
              <w:t>from Source</w:t>
            </w:r>
            <w:r w:rsidRPr="00BB65AB">
              <w:rPr>
                <w:rFonts w:asciiTheme="minorHAnsi" w:hAnsiTheme="minorHAnsi" w:cstheme="minorHAnsi"/>
                <w:b/>
                <w:color w:val="FF0000"/>
              </w:rPr>
              <w:t>*</w:t>
            </w:r>
            <w:r w:rsidRPr="00BB65AB">
              <w:rPr>
                <w:rFonts w:asciiTheme="minorHAnsi" w:hAnsiTheme="minorHAnsi" w:cstheme="minorHAnsi"/>
                <w:b/>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PQM Consultants</w:t>
            </w:r>
            <w:bookmarkEnd w:id="1"/>
          </w:p>
        </w:tc>
      </w:tr>
      <w:tr w:rsidR="00FB3B7C" w:rsidRPr="002A36EA" w:rsidTr="00451055">
        <w:tc>
          <w:tcPr>
            <w:tcW w:w="2152" w:type="dxa"/>
            <w:tcBorders>
              <w:top w:val="nil"/>
              <w:left w:val="nil"/>
              <w:bottom w:val="nil"/>
              <w:right w:val="nil"/>
            </w:tcBorders>
          </w:tcPr>
          <w:p w:rsidR="00FB3B7C" w:rsidRPr="00BB65AB" w:rsidRDefault="00FB3B7C" w:rsidP="008577C9">
            <w:pPr>
              <w:tabs>
                <w:tab w:val="left" w:pos="1701"/>
              </w:tabs>
              <w:jc w:val="right"/>
              <w:rPr>
                <w:rFonts w:asciiTheme="minorHAnsi" w:hAnsiTheme="minorHAnsi" w:cstheme="minorHAnsi"/>
                <w:b/>
              </w:rPr>
            </w:pPr>
            <w:r w:rsidRPr="00BB65AB">
              <w:rPr>
                <w:rFonts w:asciiTheme="minorHAnsi" w:hAnsiTheme="minorHAnsi" w:cstheme="minorHAnsi"/>
                <w:b/>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Steve Randall</w:t>
            </w:r>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BB65AB" w:rsidRDefault="00FB3B7C" w:rsidP="00832E39">
            <w:pPr>
              <w:tabs>
                <w:tab w:val="left" w:pos="1701"/>
              </w:tabs>
              <w:ind w:left="-250" w:firstLine="250"/>
              <w:jc w:val="right"/>
              <w:rPr>
                <w:rFonts w:asciiTheme="minorHAnsi" w:hAnsiTheme="minorHAnsi" w:cstheme="minorHAnsi"/>
                <w:b/>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BB65AB">
        <w:tc>
          <w:tcPr>
            <w:tcW w:w="2152" w:type="dxa"/>
            <w:tcBorders>
              <w:top w:val="nil"/>
              <w:left w:val="nil"/>
              <w:bottom w:val="nil"/>
              <w:right w:val="nil"/>
            </w:tcBorders>
          </w:tcPr>
          <w:p w:rsidR="00D9435B" w:rsidRPr="00BB65AB" w:rsidRDefault="00832E39" w:rsidP="00832E39">
            <w:pPr>
              <w:tabs>
                <w:tab w:val="left" w:pos="1701"/>
              </w:tabs>
              <w:ind w:left="-250" w:firstLine="250"/>
              <w:jc w:val="right"/>
              <w:rPr>
                <w:rFonts w:asciiTheme="minorHAnsi" w:hAnsiTheme="minorHAnsi" w:cstheme="minorHAnsi"/>
                <w:b/>
              </w:rPr>
            </w:pPr>
            <w:r w:rsidRPr="00BB65AB">
              <w:rPr>
                <w:rFonts w:asciiTheme="minorHAnsi" w:hAnsiTheme="minorHAnsi" w:cstheme="minorHAnsi"/>
                <w:b/>
              </w:rPr>
              <w:t>input for Committee</w:t>
            </w:r>
            <w:r w:rsidR="00D9435B" w:rsidRPr="00BB65AB">
              <w:rPr>
                <w:rFonts w:asciiTheme="minorHAnsi" w:hAnsiTheme="minorHAnsi" w:cstheme="minorHAnsi"/>
                <w:b/>
                <w:color w:val="FF0000"/>
              </w:rPr>
              <w:t>*</w:t>
            </w:r>
            <w:r w:rsidR="00D9435B" w:rsidRPr="00BB65AB">
              <w:rPr>
                <w:rFonts w:asciiTheme="minorHAnsi" w:hAnsiTheme="minorHAnsi" w:cstheme="minorHAnsi"/>
                <w:b/>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BB65AB" w:rsidRDefault="00D9435B" w:rsidP="00196D5B">
            <w:pPr>
              <w:tabs>
                <w:tab w:val="left" w:pos="1701"/>
              </w:tabs>
              <w:jc w:val="right"/>
              <w:rPr>
                <w:rFonts w:asciiTheme="minorHAnsi" w:hAnsiTheme="minorHAnsi" w:cstheme="minorHAnsi"/>
                <w:b/>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BB65AB" w:rsidRDefault="00832E39" w:rsidP="00832E39">
            <w:pPr>
              <w:jc w:val="right"/>
              <w:rPr>
                <w:rFonts w:asciiTheme="minorHAnsi" w:hAnsiTheme="minorHAnsi" w:cstheme="minorHAnsi"/>
                <w:b/>
              </w:rPr>
            </w:pPr>
            <w:r w:rsidRPr="00BB65AB">
              <w:rPr>
                <w:rFonts w:asciiTheme="minorHAnsi" w:hAnsiTheme="minorHAnsi" w:cstheme="minorHAnsi"/>
                <w:b/>
              </w:rPr>
              <w:t>Contribution</w:t>
            </w:r>
            <w:r w:rsidR="00D9435B" w:rsidRPr="00BB65AB">
              <w:rPr>
                <w:rFonts w:asciiTheme="minorHAnsi" w:hAnsiTheme="minorHAnsi" w:cstheme="minorHAnsi"/>
                <w:b/>
              </w:rPr>
              <w:t xml:space="preserve"> </w:t>
            </w:r>
            <w:r w:rsidRPr="00BB65AB">
              <w:rPr>
                <w:rFonts w:asciiTheme="minorHAnsi" w:hAnsiTheme="minorHAnsi" w:cstheme="minorHAnsi"/>
                <w:b/>
              </w:rPr>
              <w:t>F</w:t>
            </w:r>
            <w:r w:rsidR="00D9435B" w:rsidRPr="00BB65AB">
              <w:rPr>
                <w:rFonts w:asciiTheme="minorHAnsi" w:hAnsiTheme="minorHAnsi" w:cstheme="minorHAnsi"/>
                <w:b/>
              </w:rPr>
              <w:t>or</w:t>
            </w:r>
            <w:r w:rsidR="00D9435B" w:rsidRPr="00BB65AB">
              <w:rPr>
                <w:rFonts w:asciiTheme="minorHAnsi" w:hAnsiTheme="minorHAnsi" w:cstheme="minorHAnsi"/>
                <w:b/>
                <w:color w:val="FF0000"/>
              </w:rPr>
              <w:t>*</w:t>
            </w:r>
            <w:r w:rsidR="00D9435B" w:rsidRPr="00BB65AB">
              <w:rPr>
                <w:rFonts w:asciiTheme="minorHAnsi" w:hAnsiTheme="minorHAnsi" w:cstheme="minorHAnsi"/>
                <w:b/>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BB65AB" w:rsidRDefault="00D9435B" w:rsidP="00196D5B">
            <w:pPr>
              <w:tabs>
                <w:tab w:val="left" w:pos="1701"/>
              </w:tabs>
              <w:jc w:val="right"/>
              <w:rPr>
                <w:rFonts w:asciiTheme="minorHAnsi" w:hAnsiTheme="minorHAnsi" w:cstheme="minorHAnsi"/>
                <w:b/>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r w:rsidRPr="00516885">
              <w:rPr>
                <w:rFonts w:ascii="Arial" w:hAnsi="Arial" w:cs="Arial"/>
                <w:b/>
              </w:rPr>
              <w:t>X</w:t>
            </w:r>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BB65AB" w:rsidRDefault="00D9435B" w:rsidP="00196D5B">
            <w:pPr>
              <w:tabs>
                <w:tab w:val="left" w:pos="1701"/>
              </w:tabs>
              <w:rPr>
                <w:rFonts w:asciiTheme="minorHAnsi" w:hAnsiTheme="minorHAnsi" w:cstheme="minorHAnsi"/>
                <w:b/>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BB65AB" w:rsidRDefault="00776B64" w:rsidP="00196D5B">
            <w:pPr>
              <w:tabs>
                <w:tab w:val="left" w:pos="1701"/>
              </w:tabs>
              <w:jc w:val="right"/>
              <w:rPr>
                <w:rFonts w:asciiTheme="minorHAnsi" w:hAnsiTheme="minorHAnsi" w:cstheme="minorHAnsi"/>
                <w:b/>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BB65AB" w:rsidRDefault="00D9435B" w:rsidP="00196D5B">
            <w:pPr>
              <w:tabs>
                <w:tab w:val="left" w:pos="1701"/>
              </w:tabs>
              <w:jc w:val="right"/>
              <w:rPr>
                <w:rFonts w:asciiTheme="minorHAnsi" w:hAnsiTheme="minorHAnsi" w:cstheme="minorHAnsi"/>
                <w:b/>
              </w:rPr>
            </w:pPr>
            <w:r w:rsidRPr="00BB65AB">
              <w:rPr>
                <w:rFonts w:asciiTheme="minorHAnsi" w:hAnsiTheme="minorHAnsi" w:cstheme="minorHAnsi"/>
                <w:b/>
              </w:rPr>
              <w:t>Submission date</w:t>
            </w:r>
            <w:r w:rsidRPr="00BB65AB">
              <w:rPr>
                <w:rFonts w:asciiTheme="minorHAnsi" w:hAnsiTheme="minorHAnsi" w:cstheme="minorHAnsi"/>
                <w:b/>
                <w:color w:val="FF0000"/>
              </w:rPr>
              <w:t>*</w:t>
            </w:r>
            <w:r w:rsidRPr="00BB65AB">
              <w:rPr>
                <w:rFonts w:asciiTheme="minorHAnsi" w:hAnsiTheme="minorHAnsi" w:cstheme="minorHAnsi"/>
                <w:b/>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7" w:name="date"/>
            <w:r w:rsidRPr="00D9435B">
              <w:rPr>
                <w:rFonts w:ascii="Arial" w:hAnsi="Arial" w:cs="Arial"/>
              </w:rPr>
              <w:t>2012-05-08</w:t>
            </w:r>
            <w:bookmarkEnd w:id="7"/>
          </w:p>
        </w:tc>
      </w:tr>
      <w:tr w:rsidR="00D9435B" w:rsidRPr="00D21604" w:rsidTr="00451055">
        <w:trPr>
          <w:trHeight w:hRule="exact" w:val="170"/>
        </w:trPr>
        <w:tc>
          <w:tcPr>
            <w:tcW w:w="2152" w:type="dxa"/>
            <w:tcBorders>
              <w:top w:val="nil"/>
              <w:left w:val="nil"/>
              <w:bottom w:val="nil"/>
              <w:right w:val="nil"/>
            </w:tcBorders>
          </w:tcPr>
          <w:p w:rsidR="00D9435B" w:rsidRPr="00BB65AB" w:rsidRDefault="00D9435B" w:rsidP="00196D5B">
            <w:pPr>
              <w:tabs>
                <w:tab w:val="left" w:pos="1701"/>
              </w:tabs>
              <w:jc w:val="right"/>
              <w:rPr>
                <w:rFonts w:asciiTheme="minorHAnsi" w:hAnsiTheme="minorHAnsi" w:cstheme="minorHAnsi"/>
                <w:b/>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BB65AB" w:rsidRDefault="007A3763" w:rsidP="00776B64">
            <w:pPr>
              <w:tabs>
                <w:tab w:val="left" w:pos="1701"/>
              </w:tabs>
              <w:jc w:val="right"/>
              <w:rPr>
                <w:rFonts w:asciiTheme="minorHAnsi" w:hAnsiTheme="minorHAnsi" w:cstheme="minorHAnsi"/>
                <w:b/>
              </w:rPr>
            </w:pPr>
            <w:r w:rsidRPr="00BB65AB">
              <w:rPr>
                <w:rFonts w:asciiTheme="minorHAnsi" w:hAnsiTheme="minorHAnsi" w:cstheme="minorHAnsi"/>
                <w:b/>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8" w:name="MeetingReference"/>
            <w:r w:rsidRPr="00422891">
              <w:rPr>
                <w:rFonts w:ascii="Arial" w:hAnsi="Arial" w:cs="Arial"/>
                <w:b/>
                <w:sz w:val="22"/>
                <w:szCs w:val="24"/>
              </w:rPr>
              <w:t>MTS#56</w:t>
            </w:r>
            <w:r w:rsidRPr="00422891">
              <w:rPr>
                <w:rFonts w:ascii="Arial" w:hAnsi="Arial" w:cs="Arial"/>
                <w:sz w:val="18"/>
              </w:rPr>
              <w:t xml:space="preserve"> </w:t>
            </w:r>
            <w:bookmarkEnd w:id="8"/>
            <w:r w:rsidR="00F11466">
              <w:rPr>
                <w:rFonts w:ascii="Arial" w:hAnsi="Arial" w:cs="Arial"/>
              </w:rPr>
              <w:t xml:space="preserve">- </w:t>
            </w:r>
            <w:bookmarkStart w:id="9" w:name="agendaItem"/>
            <w:r w:rsidR="00683AE1" w:rsidRPr="00422891">
              <w:rPr>
                <w:rFonts w:ascii="Arial" w:hAnsi="Arial" w:cs="Arial"/>
                <w:sz w:val="22"/>
                <w:szCs w:val="24"/>
              </w:rPr>
              <w:t>Session 6 - Other ongoing work</w:t>
            </w:r>
            <w:bookmarkEnd w:id="9"/>
          </w:p>
        </w:tc>
      </w:tr>
      <w:tr w:rsidR="00D9435B" w:rsidRPr="002A36EA" w:rsidTr="00451055">
        <w:tc>
          <w:tcPr>
            <w:tcW w:w="2152" w:type="dxa"/>
            <w:tcBorders>
              <w:top w:val="nil"/>
              <w:left w:val="nil"/>
              <w:bottom w:val="nil"/>
              <w:right w:val="nil"/>
            </w:tcBorders>
          </w:tcPr>
          <w:p w:rsidR="00D9435B" w:rsidRPr="00BB65AB" w:rsidRDefault="00D9435B" w:rsidP="00196D5B">
            <w:pPr>
              <w:tabs>
                <w:tab w:val="left" w:pos="1701"/>
              </w:tabs>
              <w:jc w:val="right"/>
              <w:rPr>
                <w:rFonts w:asciiTheme="minorHAnsi" w:hAnsiTheme="minorHAnsi" w:cstheme="minorHAnsi"/>
                <w:b/>
              </w:rPr>
            </w:pPr>
            <w:r w:rsidRPr="00BB65AB">
              <w:rPr>
                <w:rFonts w:asciiTheme="minorHAnsi" w:hAnsiTheme="minorHAnsi" w:cstheme="minorHAnsi"/>
                <w:b/>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0" w:name="RelevantWorkItems"/>
            <w:bookmarkEnd w:id="10"/>
            <w:r w:rsidR="00BB65AB" w:rsidRPr="00BB65AB">
              <w:rPr>
                <w:rFonts w:ascii="Arial" w:hAnsi="Arial" w:cs="Arial"/>
              </w:rPr>
              <w:t>RES/MTS-202553ed211_ExTRA</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8D5477">
      <w:pPr>
        <w:ind w:left="-426" w:right="-472"/>
      </w:pPr>
    </w:p>
    <w:p w:rsidR="00BB65AB" w:rsidRDefault="00BB65AB">
      <w:pPr>
        <w:overflowPunct/>
        <w:autoSpaceDE/>
        <w:autoSpaceDN/>
        <w:adjustRightInd/>
        <w:spacing w:after="200" w:line="276" w:lineRule="auto"/>
        <w:textAlignment w:val="auto"/>
        <w:rPr>
          <w:rFonts w:ascii="Arial" w:hAnsi="Arial" w:cs="Arial"/>
        </w:rPr>
      </w:pPr>
      <w:r>
        <w:rPr>
          <w:rFonts w:ascii="Arial" w:hAnsi="Arial" w:cs="Arial"/>
        </w:rPr>
        <w:br w:type="page"/>
      </w:r>
    </w:p>
    <w:p w:rsidR="00BB65AB" w:rsidRPr="00BB65AB" w:rsidRDefault="00BB65AB" w:rsidP="00BB65AB">
      <w:pPr>
        <w:pStyle w:val="Heading1"/>
      </w:pPr>
      <w:r w:rsidRPr="00BB65AB">
        <w:lastRenderedPageBreak/>
        <w:t>First draft of revised ES 201 553, ExTRA/TPLan</w:t>
      </w:r>
    </w:p>
    <w:p w:rsidR="00BB65AB" w:rsidRPr="00BB65AB" w:rsidRDefault="00BB65AB" w:rsidP="00BB65AB">
      <w:pPr>
        <w:pStyle w:val="Heading2"/>
      </w:pPr>
      <w:r w:rsidRPr="00BB65AB">
        <w:t>Overview</w:t>
      </w:r>
    </w:p>
    <w:p w:rsidR="00BB65AB" w:rsidRPr="00BB65AB" w:rsidRDefault="00BB65AB" w:rsidP="00BB65AB">
      <w:pPr>
        <w:rPr>
          <w:sz w:val="24"/>
          <w:szCs w:val="24"/>
        </w:rPr>
      </w:pPr>
      <w:r w:rsidRPr="00BB65AB">
        <w:rPr>
          <w:sz w:val="24"/>
          <w:szCs w:val="24"/>
        </w:rPr>
        <w:t>A first draft of the revised ES 201 553 has been contributed as MTS(12)56-004. It is nowhere near complete and is offered to MTS#56 as an indication of the direction that is planned for the notation by the rapporteur and other contributors. As such, it must be considered to be completely open for discussion and debate.</w:t>
      </w:r>
    </w:p>
    <w:p w:rsidR="00BB65AB" w:rsidRPr="00BB65AB" w:rsidRDefault="00BB65AB" w:rsidP="00BB65AB">
      <w:pPr>
        <w:rPr>
          <w:sz w:val="24"/>
          <w:szCs w:val="24"/>
        </w:rPr>
      </w:pPr>
    </w:p>
    <w:p w:rsidR="00BB65AB" w:rsidRPr="00BB65AB" w:rsidRDefault="00BB65AB" w:rsidP="00BB65AB">
      <w:pPr>
        <w:rPr>
          <w:sz w:val="24"/>
          <w:szCs w:val="24"/>
        </w:rPr>
      </w:pPr>
      <w:r w:rsidRPr="00BB65AB">
        <w:rPr>
          <w:sz w:val="24"/>
          <w:szCs w:val="24"/>
        </w:rPr>
        <w:t>So far, the main changes to the document from the previous version are as follows:</w:t>
      </w:r>
    </w:p>
    <w:p w:rsidR="00BB65AB" w:rsidRPr="00BB65AB" w:rsidRDefault="00BB65AB" w:rsidP="00BB65AB">
      <w:pPr>
        <w:rPr>
          <w:sz w:val="24"/>
          <w:szCs w:val="24"/>
        </w:rPr>
      </w:pPr>
    </w:p>
    <w:p w:rsidR="00BB65AB" w:rsidRPr="00BB65AB" w:rsidRDefault="00BB65AB" w:rsidP="00BB65AB">
      <w:pPr>
        <w:pStyle w:val="ListParagraph"/>
        <w:ind w:left="709" w:hanging="567"/>
        <w:rPr>
          <w:sz w:val="24"/>
          <w:szCs w:val="24"/>
        </w:rPr>
      </w:pPr>
      <w:r w:rsidRPr="00BB65AB">
        <w:rPr>
          <w:sz w:val="24"/>
          <w:szCs w:val="24"/>
        </w:rPr>
        <w:t>•</w:t>
      </w:r>
      <w:r w:rsidRPr="00BB65AB">
        <w:rPr>
          <w:sz w:val="24"/>
          <w:szCs w:val="24"/>
        </w:rPr>
        <w:tab/>
        <w:t>Change of the name of the notation from "TPLan" to "ExTRA" (</w:t>
      </w:r>
      <w:r w:rsidRPr="00BB65AB">
        <w:rPr>
          <w:sz w:val="24"/>
          <w:szCs w:val="24"/>
          <w:u w:val="single"/>
        </w:rPr>
        <w:t>E</w:t>
      </w:r>
      <w:r w:rsidRPr="00BB65AB">
        <w:rPr>
          <w:sz w:val="24"/>
          <w:szCs w:val="24"/>
        </w:rPr>
        <w:t xml:space="preserve">xtensible notation for </w:t>
      </w:r>
      <w:r w:rsidRPr="00BB65AB">
        <w:rPr>
          <w:sz w:val="24"/>
          <w:szCs w:val="24"/>
          <w:u w:val="single"/>
        </w:rPr>
        <w:t>T</w:t>
      </w:r>
      <w:r w:rsidRPr="00BB65AB">
        <w:rPr>
          <w:sz w:val="24"/>
          <w:szCs w:val="24"/>
        </w:rPr>
        <w:t xml:space="preserve">Ps, </w:t>
      </w:r>
      <w:r w:rsidRPr="00BB65AB">
        <w:rPr>
          <w:sz w:val="24"/>
          <w:szCs w:val="24"/>
          <w:u w:val="single"/>
        </w:rPr>
        <w:t>R</w:t>
      </w:r>
      <w:r w:rsidRPr="00BB65AB">
        <w:rPr>
          <w:sz w:val="24"/>
          <w:szCs w:val="24"/>
        </w:rPr>
        <w:t xml:space="preserve">equirements and </w:t>
      </w:r>
      <w:r w:rsidRPr="00BB65AB">
        <w:rPr>
          <w:sz w:val="24"/>
          <w:szCs w:val="24"/>
          <w:u w:val="single"/>
        </w:rPr>
        <w:t>A</w:t>
      </w:r>
      <w:r w:rsidRPr="00BB65AB">
        <w:rPr>
          <w:sz w:val="24"/>
          <w:szCs w:val="24"/>
        </w:rPr>
        <w:t>ssertions);</w:t>
      </w:r>
    </w:p>
    <w:p w:rsidR="00BB65AB" w:rsidRPr="00BB65AB" w:rsidRDefault="00BB65AB" w:rsidP="00BB65AB">
      <w:pPr>
        <w:pStyle w:val="ListParagraph"/>
        <w:ind w:left="709" w:hanging="567"/>
        <w:rPr>
          <w:sz w:val="24"/>
          <w:szCs w:val="24"/>
        </w:rPr>
      </w:pPr>
      <w:r w:rsidRPr="00BB65AB">
        <w:rPr>
          <w:sz w:val="24"/>
          <w:szCs w:val="24"/>
        </w:rPr>
        <w:t>•</w:t>
      </w:r>
      <w:r w:rsidRPr="00BB65AB">
        <w:rPr>
          <w:sz w:val="24"/>
          <w:szCs w:val="24"/>
        </w:rPr>
        <w:tab/>
        <w:t>Generalization of the text in the document to remove its previous close-coupling with TPs;</w:t>
      </w:r>
    </w:p>
    <w:p w:rsidR="00BB65AB" w:rsidRPr="00BB65AB" w:rsidRDefault="00BB65AB" w:rsidP="00BB65AB">
      <w:pPr>
        <w:pStyle w:val="ListParagraph"/>
        <w:ind w:left="709" w:hanging="567"/>
        <w:rPr>
          <w:sz w:val="24"/>
          <w:szCs w:val="24"/>
        </w:rPr>
      </w:pPr>
      <w:r w:rsidRPr="00BB65AB">
        <w:rPr>
          <w:sz w:val="24"/>
          <w:szCs w:val="24"/>
        </w:rPr>
        <w:t>•</w:t>
      </w:r>
      <w:r w:rsidRPr="00BB65AB">
        <w:rPr>
          <w:sz w:val="24"/>
          <w:szCs w:val="24"/>
        </w:rPr>
        <w:tab/>
        <w:t>Revision of the predefined keywords to permit the specification of requirements and assertions.</w:t>
      </w:r>
    </w:p>
    <w:p w:rsidR="00BB65AB" w:rsidRPr="00BB65AB" w:rsidRDefault="00BB65AB" w:rsidP="00BB65AB">
      <w:pPr>
        <w:rPr>
          <w:sz w:val="24"/>
          <w:szCs w:val="24"/>
        </w:rPr>
      </w:pPr>
    </w:p>
    <w:p w:rsidR="00BB65AB" w:rsidRPr="00BB65AB" w:rsidRDefault="00BB65AB" w:rsidP="00BB65AB">
      <w:pPr>
        <w:rPr>
          <w:sz w:val="24"/>
          <w:szCs w:val="24"/>
        </w:rPr>
      </w:pPr>
      <w:r w:rsidRPr="00BB65AB">
        <w:rPr>
          <w:sz w:val="24"/>
          <w:szCs w:val="24"/>
        </w:rPr>
        <w:t>Very little work has been done on the examples which are still, for the most part, oriented towards testing. These will only be updated as the notation matures around requirements and assertions. For the same reasons, the annexes are essentially unchanged.</w:t>
      </w:r>
    </w:p>
    <w:p w:rsidR="00BB65AB" w:rsidRPr="00BB65AB" w:rsidRDefault="00BB65AB" w:rsidP="00BB65AB">
      <w:pPr>
        <w:pStyle w:val="Heading2"/>
      </w:pPr>
      <w:r w:rsidRPr="00BB65AB">
        <w:t>Specific modifications</w:t>
      </w:r>
    </w:p>
    <w:p w:rsidR="00BB65AB" w:rsidRPr="00BB65AB" w:rsidRDefault="00BB65AB" w:rsidP="00BB65AB">
      <w:pPr>
        <w:rPr>
          <w:sz w:val="24"/>
          <w:szCs w:val="24"/>
        </w:rPr>
      </w:pPr>
      <w:r w:rsidRPr="00BB65AB">
        <w:rPr>
          <w:sz w:val="24"/>
          <w:szCs w:val="24"/>
        </w:rPr>
        <w:t>The Scope clause has been modified to extend the use of the notation to include requirements and assertions as well as TPs and to reduce the earlier dependence on ISO 9646-1.</w:t>
      </w:r>
    </w:p>
    <w:p w:rsidR="00BB65AB" w:rsidRPr="00BB65AB" w:rsidRDefault="00BB65AB" w:rsidP="00BB65AB">
      <w:pPr>
        <w:rPr>
          <w:sz w:val="24"/>
          <w:szCs w:val="24"/>
        </w:rPr>
      </w:pPr>
    </w:p>
    <w:p w:rsidR="00BB65AB" w:rsidRPr="00BB65AB" w:rsidRDefault="00BB65AB" w:rsidP="00BB65AB">
      <w:pPr>
        <w:rPr>
          <w:sz w:val="24"/>
          <w:szCs w:val="24"/>
        </w:rPr>
      </w:pPr>
      <w:r w:rsidRPr="00BB65AB">
        <w:rPr>
          <w:sz w:val="24"/>
          <w:szCs w:val="24"/>
        </w:rPr>
        <w:t xml:space="preserve">The most significant change to the notation is related to the ability to specify requirements and assertions as well as TPs. A new statement has been added to the main header of an ExTRA specification to identify whether it is a TSS &amp; TPs, requirements or assertions and this can only be set once for each ExTRA specification (i.e., a single ExTRA specification can contain TPs or requirements or assertions and not a combination). Although many of the predefined keywords are generic to all types, certain of them will only be permitted on a per-type basis. For example, the </w:t>
      </w:r>
      <w:r w:rsidRPr="00BB65AB">
        <w:rPr>
          <w:rFonts w:ascii="Courier New" w:hAnsi="Courier New" w:cs="Courier New"/>
          <w:b/>
          <w:sz w:val="24"/>
          <w:szCs w:val="24"/>
        </w:rPr>
        <w:t>ensure that</w:t>
      </w:r>
      <w:r w:rsidRPr="00BB65AB">
        <w:rPr>
          <w:sz w:val="24"/>
          <w:szCs w:val="24"/>
        </w:rPr>
        <w:t xml:space="preserve"> construct can be used in a TSS but not in a requirements specification or in assertions.</w:t>
      </w:r>
    </w:p>
    <w:p w:rsidR="00BB65AB" w:rsidRPr="00BB65AB" w:rsidRDefault="00BB65AB" w:rsidP="00BB65AB">
      <w:pPr>
        <w:rPr>
          <w:sz w:val="24"/>
          <w:szCs w:val="24"/>
        </w:rPr>
      </w:pPr>
    </w:p>
    <w:p w:rsidR="005B115B" w:rsidRPr="00BB65AB" w:rsidRDefault="00BB65AB" w:rsidP="00BB65AB">
      <w:pPr>
        <w:rPr>
          <w:sz w:val="24"/>
          <w:szCs w:val="24"/>
        </w:rPr>
      </w:pPr>
      <w:r w:rsidRPr="00BB65AB">
        <w:rPr>
          <w:sz w:val="24"/>
          <w:szCs w:val="24"/>
        </w:rPr>
        <w:t>Although there has been some effort directed at incorporating the concept of requirements into the early introductory text within the document, there is very little included yet on the concept of assertions. This will be added in the next revision.</w:t>
      </w:r>
    </w:p>
    <w:sectPr w:rsidR="005B115B" w:rsidRPr="00BB65AB" w:rsidSect="00451055">
      <w:headerReference w:type="default" r:id="rId8"/>
      <w:footerReference w:type="default" r:id="rId9"/>
      <w:pgSz w:w="11906" w:h="16838"/>
      <w:pgMar w:top="1247" w:right="1134" w:bottom="1440" w:left="1134" w:header="57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E7B" w:rsidRDefault="002B2E7B" w:rsidP="00D9435B">
      <w:r>
        <w:separator/>
      </w:r>
    </w:p>
  </w:endnote>
  <w:endnote w:type="continuationSeparator" w:id="0">
    <w:p w:rsidR="002B2E7B" w:rsidRDefault="002B2E7B"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77" w:rsidRPr="0083399D" w:rsidRDefault="008D5477" w:rsidP="0083399D">
    <w:pPr>
      <w:tabs>
        <w:tab w:val="center" w:pos="4536"/>
      </w:tabs>
      <w:rPr>
        <w:rFonts w:ascii="Arial" w:hAnsi="Arial" w:cs="Arial"/>
      </w:rPr>
    </w:pPr>
    <w:r>
      <w:tab/>
    </w:r>
    <w:r w:rsidR="00824463" w:rsidRPr="0083399D">
      <w:rPr>
        <w:rFonts w:ascii="Arial" w:hAnsi="Arial" w:cs="Arial"/>
      </w:rPr>
      <w:fldChar w:fldCharType="begin"/>
    </w:r>
    <w:r w:rsidRPr="0083399D">
      <w:rPr>
        <w:rFonts w:ascii="Arial" w:hAnsi="Arial" w:cs="Arial"/>
      </w:rPr>
      <w:instrText xml:space="preserve"> PAGE   \* MERGEFORMAT </w:instrText>
    </w:r>
    <w:r w:rsidR="00824463" w:rsidRPr="0083399D">
      <w:rPr>
        <w:rFonts w:ascii="Arial" w:hAnsi="Arial" w:cs="Arial"/>
      </w:rPr>
      <w:fldChar w:fldCharType="separate"/>
    </w:r>
    <w:r w:rsidR="00BB65AB">
      <w:rPr>
        <w:rFonts w:ascii="Arial" w:hAnsi="Arial" w:cs="Arial"/>
        <w:noProof/>
      </w:rPr>
      <w:t>2</w:t>
    </w:r>
    <w:r w:rsidR="00824463" w:rsidRPr="0083399D">
      <w:rPr>
        <w:rFonts w:ascii="Arial" w:hAnsi="Arial" w:cs="Arial"/>
      </w:rPr>
      <w:fldChar w:fldCharType="end"/>
    </w:r>
    <w:r w:rsidRPr="0083399D">
      <w:rPr>
        <w:rFonts w:ascii="Arial" w:hAnsi="Arial" w:cs="Arial"/>
      </w:rPr>
      <w:t>/</w:t>
    </w:r>
    <w:fldSimple w:instr=" NUMPAGES   \* MERGEFORMAT ">
      <w:r w:rsidR="00BB65AB" w:rsidRPr="00BB65AB">
        <w:rPr>
          <w:rFonts w:ascii="Arial" w:hAnsi="Arial" w:cs="Arial"/>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E7B" w:rsidRDefault="002B2E7B" w:rsidP="00D9435B">
      <w:r>
        <w:separator/>
      </w:r>
    </w:p>
  </w:footnote>
  <w:footnote w:type="continuationSeparator" w:id="0">
    <w:p w:rsidR="002B2E7B" w:rsidRDefault="002B2E7B"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w="http://schemas.openxmlformats.org/wordprocessingml/2006/main" xmlns:mc="http://schemas.openxmlformats.org/markup-compatibility/2006" xmlns:a14="http://schemas.microsoft.com/office/drawing/2010/main" xmlns:wp14="http://schemas.microsoft.com/office/word/2010/wordprocessingDrawing" xmlns:w14="http://schemas.microsoft.com/office/word/2010/wordml" xmlns:wpi="http://schemas.microsoft.com/office/word/2010/wordprocessingInk" xmlns=""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D9435B">
      <w:rPr>
        <w:rFonts w:ascii="Arial" w:hAnsi="Arial" w:cs="Arial"/>
        <w:b/>
        <w:sz w:val="36"/>
        <w:szCs w:val="36"/>
        <w:shd w:val="clear" w:color="auto" w:fill="DBE5F1"/>
      </w:rPr>
      <w:t>MTS(12)56_005</w:t>
    </w:r>
    <w:r w:rsidR="00D9435B" w:rsidRPr="006E55B5">
      <w:rPr>
        <w:rFonts w:ascii="Arial" w:hAnsi="Arial" w:cs="Arial"/>
        <w:i/>
        <w:color w:val="0000FF"/>
        <w:sz w:val="22"/>
        <w:szCs w:val="36"/>
        <w:shd w:val="clear" w:color="auto" w:fill="C6D9F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7"/>
  </w:num>
  <w:num w:numId="4">
    <w:abstractNumId w:val="14"/>
  </w:num>
  <w:num w:numId="5">
    <w:abstractNumId w:val="1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5"/>
  </w:num>
  <w:num w:numId="14">
    <w:abstractNumId w:val="8"/>
  </w:num>
  <w:num w:numId="15">
    <w:abstractNumId w:val="10"/>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22530"/>
  </w:hdrShapeDefaults>
  <w:footnotePr>
    <w:footnote w:id="-1"/>
    <w:footnote w:id="0"/>
  </w:footnotePr>
  <w:endnotePr>
    <w:endnote w:id="-1"/>
    <w:endnote w:id="0"/>
  </w:endnotePr>
  <w:compat/>
  <w:rsids>
    <w:rsidRoot w:val="00D9435B"/>
    <w:rsid w:val="0000428F"/>
    <w:rsid w:val="0002568A"/>
    <w:rsid w:val="000A6B52"/>
    <w:rsid w:val="000C4CB6"/>
    <w:rsid w:val="00181471"/>
    <w:rsid w:val="00191D22"/>
    <w:rsid w:val="001B09AD"/>
    <w:rsid w:val="001D62B3"/>
    <w:rsid w:val="001E15D8"/>
    <w:rsid w:val="00205C5D"/>
    <w:rsid w:val="00205CF2"/>
    <w:rsid w:val="002200F3"/>
    <w:rsid w:val="002676F5"/>
    <w:rsid w:val="002A3728"/>
    <w:rsid w:val="002B2E7B"/>
    <w:rsid w:val="002D2E6B"/>
    <w:rsid w:val="002F1FCD"/>
    <w:rsid w:val="002F5958"/>
    <w:rsid w:val="00357140"/>
    <w:rsid w:val="00380E33"/>
    <w:rsid w:val="003B5323"/>
    <w:rsid w:val="003D5716"/>
    <w:rsid w:val="004124A2"/>
    <w:rsid w:val="00422891"/>
    <w:rsid w:val="00433CA6"/>
    <w:rsid w:val="004375B5"/>
    <w:rsid w:val="00451055"/>
    <w:rsid w:val="004D1743"/>
    <w:rsid w:val="00516885"/>
    <w:rsid w:val="005208F8"/>
    <w:rsid w:val="0053638D"/>
    <w:rsid w:val="00551F4D"/>
    <w:rsid w:val="00571482"/>
    <w:rsid w:val="005B115B"/>
    <w:rsid w:val="005E4A8F"/>
    <w:rsid w:val="005F1E6A"/>
    <w:rsid w:val="006017EC"/>
    <w:rsid w:val="006133B5"/>
    <w:rsid w:val="00620AA5"/>
    <w:rsid w:val="00627948"/>
    <w:rsid w:val="00631480"/>
    <w:rsid w:val="006661ED"/>
    <w:rsid w:val="00683AE1"/>
    <w:rsid w:val="007017A1"/>
    <w:rsid w:val="00723463"/>
    <w:rsid w:val="0074491A"/>
    <w:rsid w:val="00745E27"/>
    <w:rsid w:val="00776B64"/>
    <w:rsid w:val="007833A7"/>
    <w:rsid w:val="007A3763"/>
    <w:rsid w:val="007A6723"/>
    <w:rsid w:val="007B6346"/>
    <w:rsid w:val="007F1978"/>
    <w:rsid w:val="00824463"/>
    <w:rsid w:val="00832E39"/>
    <w:rsid w:val="0083399D"/>
    <w:rsid w:val="008745A4"/>
    <w:rsid w:val="00877C83"/>
    <w:rsid w:val="00887234"/>
    <w:rsid w:val="008B51CE"/>
    <w:rsid w:val="008D5477"/>
    <w:rsid w:val="008F7EE0"/>
    <w:rsid w:val="0091037B"/>
    <w:rsid w:val="00912D71"/>
    <w:rsid w:val="00996DA5"/>
    <w:rsid w:val="00A52B10"/>
    <w:rsid w:val="00A53EDB"/>
    <w:rsid w:val="00B179D6"/>
    <w:rsid w:val="00B22603"/>
    <w:rsid w:val="00B44A99"/>
    <w:rsid w:val="00B80A28"/>
    <w:rsid w:val="00B837B4"/>
    <w:rsid w:val="00BA5448"/>
    <w:rsid w:val="00BB65AB"/>
    <w:rsid w:val="00BC2F02"/>
    <w:rsid w:val="00BE7AFE"/>
    <w:rsid w:val="00BF503A"/>
    <w:rsid w:val="00C74523"/>
    <w:rsid w:val="00CA135C"/>
    <w:rsid w:val="00CA6465"/>
    <w:rsid w:val="00CC07A5"/>
    <w:rsid w:val="00D11314"/>
    <w:rsid w:val="00D22FCC"/>
    <w:rsid w:val="00D236E0"/>
    <w:rsid w:val="00D252DF"/>
    <w:rsid w:val="00D56DA5"/>
    <w:rsid w:val="00D9435B"/>
    <w:rsid w:val="00DB251F"/>
    <w:rsid w:val="00DE0933"/>
    <w:rsid w:val="00E07887"/>
    <w:rsid w:val="00E26C9A"/>
    <w:rsid w:val="00E85773"/>
    <w:rsid w:val="00EA4F2A"/>
    <w:rsid w:val="00EB16B6"/>
    <w:rsid w:val="00EE7092"/>
    <w:rsid w:val="00F11466"/>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BB6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17ED9-094C-482A-A00A-7B5F5E4E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Steve Randall</cp:lastModifiedBy>
  <cp:revision>2</cp:revision>
  <cp:lastPrinted>2010-12-06T15:51:00Z</cp:lastPrinted>
  <dcterms:created xsi:type="dcterms:W3CDTF">2012-05-08T16:27:00Z</dcterms:created>
  <dcterms:modified xsi:type="dcterms:W3CDTF">2012-05-08T16:27:00Z</dcterms:modified>
</cp:coreProperties>
</file>