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43" w:rsidRDefault="00112F43">
      <w:pPr>
        <w:pStyle w:val="Title"/>
      </w:pPr>
      <w:r>
        <w:t>Comments to the TDL early draft, from e-mails and discussion at MTS#59</w:t>
      </w:r>
      <w:r w:rsidR="00BC568C">
        <w:t xml:space="preserve"> and the STF’s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3728"/>
        <w:gridCol w:w="3458"/>
        <w:gridCol w:w="1190"/>
      </w:tblGrid>
      <w:tr w:rsidR="00112F43" w:rsidRPr="00642898" w:rsidTr="006D031D">
        <w:trPr>
          <w:cantSplit/>
        </w:trPr>
        <w:tc>
          <w:tcPr>
            <w:tcW w:w="1200" w:type="dxa"/>
          </w:tcPr>
          <w:p w:rsidR="00112F43" w:rsidRPr="006D031D" w:rsidRDefault="00112F43" w:rsidP="006D031D">
            <w:pPr>
              <w:spacing w:after="0" w:line="240" w:lineRule="auto"/>
              <w:rPr>
                <w:b/>
              </w:rPr>
            </w:pPr>
            <w:r w:rsidRPr="006D031D">
              <w:rPr>
                <w:b/>
                <w:sz w:val="22"/>
                <w:szCs w:val="22"/>
              </w:rPr>
              <w:t>Category</w:t>
            </w:r>
          </w:p>
        </w:tc>
        <w:tc>
          <w:tcPr>
            <w:tcW w:w="3728" w:type="dxa"/>
          </w:tcPr>
          <w:p w:rsidR="00112F43" w:rsidRPr="006D031D" w:rsidRDefault="00112F43" w:rsidP="006D031D">
            <w:pPr>
              <w:spacing w:after="0" w:line="240" w:lineRule="auto"/>
              <w:rPr>
                <w:b/>
              </w:rPr>
            </w:pPr>
            <w:r w:rsidRPr="006D031D">
              <w:rPr>
                <w:b/>
                <w:sz w:val="22"/>
                <w:szCs w:val="22"/>
              </w:rPr>
              <w:t>Issue</w:t>
            </w:r>
          </w:p>
        </w:tc>
        <w:tc>
          <w:tcPr>
            <w:tcW w:w="3458" w:type="dxa"/>
          </w:tcPr>
          <w:p w:rsidR="00112F43" w:rsidRPr="006D031D" w:rsidRDefault="00112F43" w:rsidP="006D031D">
            <w:pPr>
              <w:spacing w:after="0" w:line="240" w:lineRule="auto"/>
              <w:rPr>
                <w:b/>
              </w:rPr>
            </w:pPr>
            <w:r w:rsidRPr="006D031D">
              <w:rPr>
                <w:b/>
                <w:sz w:val="22"/>
                <w:szCs w:val="22"/>
              </w:rPr>
              <w:t>STF Response</w:t>
            </w:r>
          </w:p>
        </w:tc>
        <w:tc>
          <w:tcPr>
            <w:tcW w:w="1190" w:type="dxa"/>
          </w:tcPr>
          <w:p w:rsidR="00112F43" w:rsidRPr="006D031D" w:rsidRDefault="00112F43" w:rsidP="006D031D">
            <w:pPr>
              <w:spacing w:after="0" w:line="240" w:lineRule="auto"/>
              <w:rPr>
                <w:b/>
              </w:rPr>
            </w:pPr>
            <w:r w:rsidRPr="006D031D">
              <w:rPr>
                <w:b/>
                <w:sz w:val="22"/>
                <w:szCs w:val="22"/>
              </w:rPr>
              <w:t>Proposer</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Major</w:t>
            </w:r>
          </w:p>
        </w:tc>
        <w:tc>
          <w:tcPr>
            <w:tcW w:w="3728" w:type="dxa"/>
            <w:vAlign w:val="center"/>
          </w:tcPr>
          <w:p w:rsidR="00112F43" w:rsidRPr="006D031D" w:rsidRDefault="00112F43" w:rsidP="006D031D">
            <w:pPr>
              <w:spacing w:after="0" w:line="240" w:lineRule="auto"/>
              <w:rPr>
                <w:lang w:val="en-GB"/>
              </w:rPr>
            </w:pPr>
            <w:r w:rsidRPr="006D031D">
              <w:rPr>
                <w:sz w:val="22"/>
                <w:szCs w:val="22"/>
                <w:lang w:val="en-GB"/>
              </w:rPr>
              <w:t>Data Types in TDL</w:t>
            </w:r>
          </w:p>
          <w:p w:rsidR="00112F43" w:rsidRPr="006D031D" w:rsidRDefault="00112F43" w:rsidP="006D031D">
            <w:pPr>
              <w:spacing w:after="0" w:line="240" w:lineRule="auto"/>
              <w:rPr>
                <w:lang w:val="en-GB"/>
              </w:rPr>
            </w:pPr>
            <w:r w:rsidRPr="006D031D">
              <w:rPr>
                <w:sz w:val="22"/>
                <w:szCs w:val="22"/>
                <w:lang w:val="en-GB"/>
              </w:rPr>
              <w:t>Proposal: At least the value sets and the expected syntaxes of the simple data types Integer, Float and Boolean shall be specified.</w:t>
            </w:r>
          </w:p>
        </w:tc>
        <w:tc>
          <w:tcPr>
            <w:tcW w:w="3458" w:type="dxa"/>
            <w:vAlign w:val="center"/>
          </w:tcPr>
          <w:p w:rsidR="00112F43" w:rsidRPr="006D031D" w:rsidRDefault="00112F43" w:rsidP="006D031D">
            <w:pPr>
              <w:spacing w:after="0" w:line="240" w:lineRule="auto"/>
            </w:pPr>
            <w:r w:rsidRPr="006D031D">
              <w:rPr>
                <w:sz w:val="22"/>
                <w:szCs w:val="22"/>
              </w:rPr>
              <w:t>To be investigated.</w:t>
            </w:r>
          </w:p>
          <w:p w:rsidR="00112F43" w:rsidRPr="006D031D" w:rsidRDefault="00112F43" w:rsidP="006D031D">
            <w:pPr>
              <w:spacing w:after="0" w:line="240" w:lineRule="auto"/>
            </w:pPr>
          </w:p>
          <w:p w:rsidR="00314051" w:rsidRPr="007C0C55" w:rsidRDefault="00112F43" w:rsidP="006D031D">
            <w:pPr>
              <w:spacing w:after="0" w:line="240" w:lineRule="auto"/>
            </w:pPr>
            <w:r w:rsidRPr="006D031D">
              <w:rPr>
                <w:sz w:val="22"/>
                <w:szCs w:val="22"/>
              </w:rPr>
              <w:t xml:space="preserve">In the early draft the possibility of referencing external data types is not elaborated. </w:t>
            </w:r>
            <w:r>
              <w:rPr>
                <w:sz w:val="22"/>
                <w:szCs w:val="22"/>
              </w:rPr>
              <w:t>TDL will provide support for a set of basic data types</w:t>
            </w:r>
            <w:r w:rsidRPr="007C0C55">
              <w:rPr>
                <w:sz w:val="22"/>
                <w:szCs w:val="22"/>
              </w:rPr>
              <w:t>.</w:t>
            </w:r>
            <w:r w:rsidR="00314051" w:rsidRPr="007C0C55">
              <w:rPr>
                <w:sz w:val="22"/>
                <w:szCs w:val="22"/>
              </w:rPr>
              <w:t xml:space="preserve"> </w:t>
            </w:r>
          </w:p>
          <w:p w:rsidR="00112F43" w:rsidRPr="006D031D" w:rsidRDefault="00AE76B3" w:rsidP="00314051">
            <w:pPr>
              <w:spacing w:after="0" w:line="240" w:lineRule="auto"/>
            </w:pPr>
            <w:r w:rsidRPr="00AE76B3">
              <w:rPr>
                <w:sz w:val="22"/>
                <w:szCs w:val="22"/>
              </w:rPr>
              <w:t>The combined use of TDL and external data type language is for further investigation.</w:t>
            </w:r>
            <w:r w:rsidR="00112F43" w:rsidRPr="007C0C55">
              <w:rPr>
                <w:sz w:val="22"/>
                <w:szCs w:val="22"/>
              </w:rPr>
              <w:t xml:space="preserve"> </w:t>
            </w:r>
          </w:p>
        </w:tc>
        <w:tc>
          <w:tcPr>
            <w:tcW w:w="1190" w:type="dxa"/>
            <w:vAlign w:val="center"/>
          </w:tcPr>
          <w:p w:rsidR="00112F43" w:rsidRPr="006D031D" w:rsidRDefault="00112F43" w:rsidP="006D031D">
            <w:pPr>
              <w:spacing w:after="0" w:line="240" w:lineRule="auto"/>
            </w:pPr>
            <w:r w:rsidRPr="006D031D">
              <w:rPr>
                <w:sz w:val="22"/>
                <w:szCs w:val="22"/>
              </w:rPr>
              <w:t>E///</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Major</w:t>
            </w:r>
          </w:p>
        </w:tc>
        <w:tc>
          <w:tcPr>
            <w:tcW w:w="3728" w:type="dxa"/>
            <w:vAlign w:val="center"/>
          </w:tcPr>
          <w:p w:rsidR="00112F43" w:rsidRPr="006D031D" w:rsidRDefault="00112F43" w:rsidP="006D031D">
            <w:pPr>
              <w:spacing w:after="0" w:line="240" w:lineRule="auto"/>
              <w:rPr>
                <w:lang w:val="en-GB"/>
              </w:rPr>
            </w:pPr>
            <w:r w:rsidRPr="006D031D">
              <w:rPr>
                <w:sz w:val="22"/>
                <w:szCs w:val="22"/>
                <w:lang w:val="en-GB"/>
              </w:rPr>
              <w:t>Timers, times</w:t>
            </w:r>
          </w:p>
          <w:p w:rsidR="00112F43" w:rsidRPr="006D031D" w:rsidRDefault="00112F43" w:rsidP="006D031D">
            <w:pPr>
              <w:spacing w:after="0" w:line="240" w:lineRule="auto"/>
              <w:rPr>
                <w:lang w:val="en-GB"/>
              </w:rPr>
            </w:pPr>
            <w:r w:rsidRPr="006D031D">
              <w:rPr>
                <w:sz w:val="22"/>
                <w:szCs w:val="22"/>
                <w:lang w:val="en-GB"/>
              </w:rPr>
              <w:t>Proposal: MTS should discuss handling of timing and timers in TDL should make the needed decisions</w:t>
            </w:r>
          </w:p>
        </w:tc>
        <w:tc>
          <w:tcPr>
            <w:tcW w:w="3458" w:type="dxa"/>
            <w:vAlign w:val="center"/>
          </w:tcPr>
          <w:p w:rsidR="00112F43" w:rsidRPr="006D031D" w:rsidRDefault="00112F43" w:rsidP="006D031D">
            <w:pPr>
              <w:spacing w:after="0" w:line="240" w:lineRule="auto"/>
            </w:pPr>
            <w:r w:rsidRPr="006D031D">
              <w:rPr>
                <w:sz w:val="22"/>
                <w:szCs w:val="22"/>
              </w:rPr>
              <w:t>To be discussed</w:t>
            </w:r>
          </w:p>
        </w:tc>
        <w:tc>
          <w:tcPr>
            <w:tcW w:w="1190" w:type="dxa"/>
            <w:vAlign w:val="center"/>
          </w:tcPr>
          <w:p w:rsidR="00112F43" w:rsidRPr="006D031D" w:rsidRDefault="00112F43" w:rsidP="006D031D">
            <w:pPr>
              <w:spacing w:after="0" w:line="240" w:lineRule="auto"/>
            </w:pPr>
            <w:r w:rsidRPr="006D031D">
              <w:rPr>
                <w:sz w:val="22"/>
                <w:szCs w:val="22"/>
              </w:rPr>
              <w:t>E///,</w:t>
            </w:r>
          </w:p>
          <w:p w:rsidR="00112F43" w:rsidRPr="006D031D" w:rsidRDefault="00112F43" w:rsidP="006D031D">
            <w:pPr>
              <w:spacing w:after="0" w:line="240" w:lineRule="auto"/>
            </w:pPr>
            <w:r w:rsidRPr="006D031D">
              <w:rPr>
                <w:sz w:val="22"/>
                <w:szCs w:val="22"/>
              </w:rPr>
              <w:t>MTS</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Major</w:t>
            </w:r>
          </w:p>
        </w:tc>
        <w:tc>
          <w:tcPr>
            <w:tcW w:w="3728" w:type="dxa"/>
            <w:vAlign w:val="center"/>
          </w:tcPr>
          <w:p w:rsidR="00112F43" w:rsidRPr="006D031D" w:rsidRDefault="00112F43" w:rsidP="006D031D">
            <w:pPr>
              <w:spacing w:after="0" w:line="240" w:lineRule="auto"/>
              <w:rPr>
                <w:lang w:val="en-GB"/>
              </w:rPr>
            </w:pPr>
            <w:r w:rsidRPr="006D031D">
              <w:rPr>
                <w:sz w:val="22"/>
                <w:szCs w:val="22"/>
                <w:lang w:val="en-GB"/>
              </w:rPr>
              <w:t>When referencing a Test Description (TD), the referenced TD must have the same configuration as the referencing TD. Can it be a “</w:t>
            </w:r>
            <w:proofErr w:type="spellStart"/>
            <w:r w:rsidRPr="006D031D">
              <w:rPr>
                <w:sz w:val="22"/>
                <w:szCs w:val="22"/>
                <w:lang w:val="en-GB"/>
              </w:rPr>
              <w:t>sub”configuration</w:t>
            </w:r>
            <w:proofErr w:type="spellEnd"/>
            <w:r w:rsidRPr="006D031D">
              <w:rPr>
                <w:sz w:val="22"/>
                <w:szCs w:val="22"/>
                <w:lang w:val="en-GB"/>
              </w:rPr>
              <w:t xml:space="preserve"> instead?</w:t>
            </w:r>
          </w:p>
        </w:tc>
        <w:tc>
          <w:tcPr>
            <w:tcW w:w="3458" w:type="dxa"/>
            <w:vAlign w:val="center"/>
          </w:tcPr>
          <w:p w:rsidR="00112F43" w:rsidRPr="006D031D" w:rsidRDefault="00112F43" w:rsidP="006D031D">
            <w:pPr>
              <w:spacing w:after="0" w:line="240" w:lineRule="auto"/>
            </w:pPr>
            <w:r w:rsidRPr="006D031D">
              <w:rPr>
                <w:sz w:val="22"/>
                <w:szCs w:val="22"/>
              </w:rPr>
              <w:t>To be investigated.</w:t>
            </w:r>
          </w:p>
          <w:p w:rsidR="00112F43" w:rsidRPr="006D031D" w:rsidRDefault="00112F43" w:rsidP="006D031D">
            <w:pPr>
              <w:spacing w:after="0" w:line="240" w:lineRule="auto"/>
            </w:pPr>
          </w:p>
          <w:p w:rsidR="00112F43" w:rsidRPr="006D031D" w:rsidRDefault="00112F43" w:rsidP="006D031D">
            <w:pPr>
              <w:spacing w:after="0" w:line="240" w:lineRule="auto"/>
            </w:pPr>
            <w:r w:rsidRPr="006D031D">
              <w:rPr>
                <w:sz w:val="22"/>
                <w:szCs w:val="22"/>
              </w:rPr>
              <w:t>At the moment, interdependent TDs share the same test configuration (TC). TCs are not compatible among each other.</w:t>
            </w:r>
          </w:p>
        </w:tc>
        <w:tc>
          <w:tcPr>
            <w:tcW w:w="1190" w:type="dxa"/>
            <w:vAlign w:val="center"/>
          </w:tcPr>
          <w:p w:rsidR="00112F43" w:rsidRPr="006D031D" w:rsidRDefault="00112F43" w:rsidP="006D031D">
            <w:pPr>
              <w:spacing w:after="0" w:line="240" w:lineRule="auto"/>
            </w:pPr>
            <w:r w:rsidRPr="006D031D">
              <w:rPr>
                <w:sz w:val="22"/>
                <w:szCs w:val="22"/>
              </w:rPr>
              <w:t>Discussed in MTS though from minutes left out</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Major</w:t>
            </w:r>
          </w:p>
        </w:tc>
        <w:tc>
          <w:tcPr>
            <w:tcW w:w="3728" w:type="dxa"/>
            <w:vAlign w:val="center"/>
          </w:tcPr>
          <w:p w:rsidR="00112F43" w:rsidRPr="006D031D" w:rsidRDefault="00112F43" w:rsidP="006D031D">
            <w:pPr>
              <w:spacing w:after="0" w:line="240" w:lineRule="auto"/>
              <w:rPr>
                <w:lang w:val="en-GB"/>
              </w:rPr>
            </w:pPr>
            <w:r w:rsidRPr="006D031D">
              <w:rPr>
                <w:sz w:val="22"/>
                <w:szCs w:val="22"/>
                <w:lang w:val="en-GB"/>
              </w:rPr>
              <w:t>Proposal to remove the Exit Action completely. Unclear what the added value of having it is. MTS believe the removal would enable referencing of subset of “lifelines” in TDL specifications (or remove the current limitation that you can NOT specify that just because of the Exit event – which MTS believes to be a major limitation)</w:t>
            </w:r>
          </w:p>
        </w:tc>
        <w:tc>
          <w:tcPr>
            <w:tcW w:w="3458" w:type="dxa"/>
            <w:vAlign w:val="center"/>
          </w:tcPr>
          <w:p w:rsidR="00112F43" w:rsidRDefault="00112F43" w:rsidP="006D031D">
            <w:pPr>
              <w:spacing w:after="0" w:line="240" w:lineRule="auto"/>
            </w:pPr>
            <w:r w:rsidRPr="006D031D">
              <w:rPr>
                <w:sz w:val="22"/>
                <w:szCs w:val="22"/>
              </w:rPr>
              <w:t>The purpose of ‘</w:t>
            </w:r>
            <w:proofErr w:type="spellStart"/>
            <w:r w:rsidRPr="006D031D">
              <w:rPr>
                <w:sz w:val="22"/>
                <w:szCs w:val="22"/>
              </w:rPr>
              <w:t>ExitEvent</w:t>
            </w:r>
            <w:proofErr w:type="spellEnd"/>
            <w:r w:rsidRPr="006D031D">
              <w:rPr>
                <w:sz w:val="22"/>
                <w:szCs w:val="22"/>
              </w:rPr>
              <w:t xml:space="preserve">’ is to allow the explicit termination of </w:t>
            </w:r>
            <w:r w:rsidR="007C0C55">
              <w:rPr>
                <w:sz w:val="22"/>
                <w:szCs w:val="22"/>
              </w:rPr>
              <w:t xml:space="preserve">the entire flow of </w:t>
            </w:r>
            <w:r w:rsidRPr="006D031D">
              <w:rPr>
                <w:sz w:val="22"/>
                <w:szCs w:val="22"/>
              </w:rPr>
              <w:t>a TD at any time and not just at the end of the TD (implicit exit). A similar feature occurs in other specification languages as well and is considered useful.</w:t>
            </w:r>
          </w:p>
          <w:p w:rsidR="007C0C55" w:rsidRPr="006D031D" w:rsidRDefault="007C0C55" w:rsidP="006D031D">
            <w:pPr>
              <w:spacing w:after="0" w:line="240" w:lineRule="auto"/>
            </w:pPr>
            <w:r>
              <w:rPr>
                <w:sz w:val="22"/>
                <w:szCs w:val="22"/>
              </w:rPr>
              <w:t>To avoid confusion the element should be renamed to ‘</w:t>
            </w:r>
            <w:proofErr w:type="spellStart"/>
            <w:r>
              <w:rPr>
                <w:sz w:val="22"/>
                <w:szCs w:val="22"/>
              </w:rPr>
              <w:t>StopEvent</w:t>
            </w:r>
            <w:proofErr w:type="spellEnd"/>
            <w:r>
              <w:rPr>
                <w:sz w:val="22"/>
                <w:szCs w:val="22"/>
              </w:rPr>
              <w:t>’.</w:t>
            </w:r>
          </w:p>
          <w:p w:rsidR="00112F43" w:rsidRPr="006D031D" w:rsidRDefault="00112F43" w:rsidP="006D031D">
            <w:pPr>
              <w:spacing w:after="0" w:line="240" w:lineRule="auto"/>
            </w:pPr>
          </w:p>
        </w:tc>
        <w:tc>
          <w:tcPr>
            <w:tcW w:w="1190" w:type="dxa"/>
            <w:vAlign w:val="center"/>
          </w:tcPr>
          <w:p w:rsidR="00112F43" w:rsidRPr="006D031D" w:rsidRDefault="00112F43" w:rsidP="006D031D">
            <w:pPr>
              <w:spacing w:after="0" w:line="240" w:lineRule="auto"/>
            </w:pPr>
            <w:r w:rsidRPr="006D031D">
              <w:rPr>
                <w:sz w:val="22"/>
                <w:szCs w:val="22"/>
              </w:rPr>
              <w:t xml:space="preserve">MTS, </w:t>
            </w:r>
            <w:proofErr w:type="spellStart"/>
            <w:r w:rsidRPr="006D031D">
              <w:rPr>
                <w:sz w:val="22"/>
                <w:szCs w:val="22"/>
              </w:rPr>
              <w:t>Confor-miq</w:t>
            </w:r>
            <w:proofErr w:type="spellEnd"/>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Major</w:t>
            </w:r>
          </w:p>
        </w:tc>
        <w:tc>
          <w:tcPr>
            <w:tcW w:w="3728" w:type="dxa"/>
            <w:vAlign w:val="center"/>
          </w:tcPr>
          <w:p w:rsidR="00112F43" w:rsidRPr="006D031D" w:rsidRDefault="00112F43" w:rsidP="006D031D">
            <w:pPr>
              <w:spacing w:after="0" w:line="240" w:lineRule="auto"/>
              <w:rPr>
                <w:lang w:val="en-GB"/>
              </w:rPr>
            </w:pPr>
            <w:r w:rsidRPr="006D031D">
              <w:rPr>
                <w:sz w:val="22"/>
                <w:szCs w:val="22"/>
                <w:lang w:val="en-GB"/>
              </w:rPr>
              <w:t>Evaluation of Behaviour branches</w:t>
            </w:r>
          </w:p>
          <w:p w:rsidR="00112F43" w:rsidRPr="006D031D" w:rsidRDefault="00112F43" w:rsidP="006D031D">
            <w:pPr>
              <w:spacing w:after="0" w:line="240" w:lineRule="auto"/>
              <w:rPr>
                <w:lang w:val="en-GB"/>
              </w:rPr>
            </w:pPr>
            <w:r w:rsidRPr="006D031D">
              <w:rPr>
                <w:sz w:val="22"/>
                <w:szCs w:val="22"/>
                <w:lang w:val="en-GB"/>
              </w:rPr>
              <w:t>The semantics of evaluating combined behaviour branches needs to be elaborated in more detail. E.g. what should happen if more than one conditional branch evaluates to true? Also the relation of combined behaviour and exceptional behaviour needs to be defined (e.g. exceptional behaviour branches are evaluated after the combined behaviour branches)</w:t>
            </w:r>
          </w:p>
        </w:tc>
        <w:tc>
          <w:tcPr>
            <w:tcW w:w="3458" w:type="dxa"/>
            <w:vAlign w:val="center"/>
          </w:tcPr>
          <w:p w:rsidR="00112F43" w:rsidRPr="006D031D" w:rsidRDefault="00112F43" w:rsidP="006D031D">
            <w:pPr>
              <w:spacing w:after="0" w:line="240" w:lineRule="auto"/>
            </w:pPr>
            <w:r w:rsidRPr="006D031D">
              <w:rPr>
                <w:sz w:val="22"/>
                <w:szCs w:val="22"/>
              </w:rPr>
              <w:t>To be investigated.</w:t>
            </w:r>
          </w:p>
          <w:p w:rsidR="00112F43" w:rsidRPr="006D031D" w:rsidRDefault="00112F43" w:rsidP="006D031D">
            <w:pPr>
              <w:spacing w:after="0" w:line="240" w:lineRule="auto"/>
            </w:pPr>
          </w:p>
          <w:p w:rsidR="00112F43" w:rsidRPr="006D031D" w:rsidRDefault="00112F43" w:rsidP="006D031D">
            <w:pPr>
              <w:spacing w:after="0" w:line="240" w:lineRule="auto"/>
            </w:pPr>
            <w:r w:rsidRPr="006D031D">
              <w:rPr>
                <w:sz w:val="22"/>
                <w:szCs w:val="22"/>
              </w:rPr>
              <w:t>It is agreed that the semantics on executing branching behavior must be clearly defined.</w:t>
            </w:r>
          </w:p>
          <w:p w:rsidR="00112F43" w:rsidRPr="006D031D" w:rsidRDefault="00112F43" w:rsidP="006D031D">
            <w:pPr>
              <w:spacing w:after="0" w:line="240" w:lineRule="auto"/>
            </w:pPr>
            <w:r w:rsidRPr="006D031D">
              <w:rPr>
                <w:sz w:val="22"/>
                <w:szCs w:val="22"/>
              </w:rPr>
              <w:t>The intention is to resolve exceptional behavior to a form of branching behavior to simplify th</w:t>
            </w:r>
            <w:r w:rsidR="00533E41">
              <w:rPr>
                <w:sz w:val="22"/>
                <w:szCs w:val="22"/>
              </w:rPr>
              <w:t>e</w:t>
            </w:r>
            <w:r w:rsidRPr="006D031D">
              <w:rPr>
                <w:sz w:val="22"/>
                <w:szCs w:val="22"/>
              </w:rPr>
              <w:t xml:space="preserve"> discussion</w:t>
            </w:r>
            <w:r w:rsidR="00533E41">
              <w:rPr>
                <w:sz w:val="22"/>
                <w:szCs w:val="22"/>
              </w:rPr>
              <w:t xml:space="preserve"> on its semantics</w:t>
            </w:r>
            <w:r w:rsidRPr="006D031D">
              <w:rPr>
                <w:sz w:val="22"/>
                <w:szCs w:val="22"/>
              </w:rPr>
              <w:t>.</w:t>
            </w:r>
          </w:p>
          <w:p w:rsidR="00112F43" w:rsidRPr="006D031D" w:rsidRDefault="00112F43" w:rsidP="006D031D">
            <w:pPr>
              <w:spacing w:after="0" w:line="240" w:lineRule="auto"/>
            </w:pPr>
          </w:p>
        </w:tc>
        <w:tc>
          <w:tcPr>
            <w:tcW w:w="1190" w:type="dxa"/>
            <w:vAlign w:val="center"/>
          </w:tcPr>
          <w:p w:rsidR="00112F43" w:rsidRPr="006D031D" w:rsidRDefault="00112F43" w:rsidP="006D031D">
            <w:pPr>
              <w:spacing w:after="0" w:line="240" w:lineRule="auto"/>
            </w:pPr>
            <w:r w:rsidRPr="006D031D">
              <w:rPr>
                <w:sz w:val="22"/>
                <w:szCs w:val="22"/>
              </w:rPr>
              <w:t>E///</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lastRenderedPageBreak/>
              <w:t>Major</w:t>
            </w:r>
          </w:p>
        </w:tc>
        <w:tc>
          <w:tcPr>
            <w:tcW w:w="3728" w:type="dxa"/>
            <w:vAlign w:val="center"/>
          </w:tcPr>
          <w:p w:rsidR="00112F43" w:rsidRPr="006D031D" w:rsidRDefault="00112F43" w:rsidP="006D031D">
            <w:pPr>
              <w:spacing w:after="0" w:line="240" w:lineRule="auto"/>
            </w:pPr>
            <w:r w:rsidRPr="006D031D">
              <w:rPr>
                <w:sz w:val="22"/>
                <w:szCs w:val="22"/>
              </w:rPr>
              <w:t xml:space="preserve">The current specification of test configuration should provide more detail to reflect properties for links such as </w:t>
            </w:r>
            <w:proofErr w:type="spellStart"/>
            <w:r w:rsidRPr="006D031D">
              <w:rPr>
                <w:sz w:val="22"/>
                <w:szCs w:val="22"/>
              </w:rPr>
              <w:t>observability</w:t>
            </w:r>
            <w:proofErr w:type="spellEnd"/>
            <w:r w:rsidRPr="006D031D">
              <w:rPr>
                <w:sz w:val="22"/>
                <w:szCs w:val="22"/>
              </w:rPr>
              <w:t xml:space="preserve"> (</w:t>
            </w:r>
            <w:smartTag w:uri="urn:schemas-microsoft-com:office:smarttags" w:element="place">
              <w:r w:rsidRPr="006D031D">
                <w:rPr>
                  <w:sz w:val="22"/>
                  <w:szCs w:val="22"/>
                </w:rPr>
                <w:t>PO</w:t>
              </w:r>
            </w:smartTag>
            <w:r w:rsidRPr="006D031D">
              <w:rPr>
                <w:sz w:val="22"/>
                <w:szCs w:val="22"/>
              </w:rPr>
              <w:t>, PCO, CP etc.). Preferred solution is to simplify test configuration specification to a purely informal specification.</w:t>
            </w:r>
          </w:p>
        </w:tc>
        <w:tc>
          <w:tcPr>
            <w:tcW w:w="3458" w:type="dxa"/>
            <w:vAlign w:val="center"/>
          </w:tcPr>
          <w:p w:rsidR="00112F43" w:rsidRPr="006D031D" w:rsidRDefault="00112F43" w:rsidP="006D031D">
            <w:pPr>
              <w:spacing w:after="0" w:line="240" w:lineRule="auto"/>
            </w:pPr>
            <w:r w:rsidRPr="006D031D">
              <w:rPr>
                <w:sz w:val="22"/>
                <w:szCs w:val="22"/>
              </w:rPr>
              <w:t>To be investigated.</w:t>
            </w:r>
          </w:p>
          <w:p w:rsidR="00112F43" w:rsidRPr="006D031D" w:rsidRDefault="00112F43" w:rsidP="006D031D">
            <w:pPr>
              <w:spacing w:after="0" w:line="240" w:lineRule="auto"/>
            </w:pPr>
          </w:p>
          <w:p w:rsidR="00112F43" w:rsidRPr="00533E41" w:rsidRDefault="00112F43" w:rsidP="006D031D">
            <w:pPr>
              <w:spacing w:after="0" w:line="240" w:lineRule="auto"/>
            </w:pPr>
            <w:smartTag w:uri="urn:schemas-microsoft-com:office:smarttags" w:element="place">
              <w:r w:rsidRPr="006D031D">
                <w:rPr>
                  <w:sz w:val="22"/>
                  <w:szCs w:val="22"/>
                </w:rPr>
                <w:t>PO</w:t>
              </w:r>
            </w:smartTag>
            <w:r w:rsidRPr="006D031D">
              <w:rPr>
                <w:sz w:val="22"/>
                <w:szCs w:val="22"/>
              </w:rPr>
              <w:t>, PCO, CP are no concepts in the TDL MM; they occurred only as illustrative elements in the slides.</w:t>
            </w:r>
          </w:p>
          <w:p w:rsidR="00B16179" w:rsidRPr="00533E41" w:rsidRDefault="00AE76B3" w:rsidP="006D031D">
            <w:pPr>
              <w:spacing w:after="0" w:line="240" w:lineRule="auto"/>
            </w:pPr>
            <w:r w:rsidRPr="00AE76B3">
              <w:rPr>
                <w:sz w:val="22"/>
                <w:szCs w:val="22"/>
              </w:rPr>
              <w:t xml:space="preserve">The role of a connection (PO, PCO, </w:t>
            </w:r>
            <w:proofErr w:type="gramStart"/>
            <w:r w:rsidRPr="00AE76B3">
              <w:rPr>
                <w:sz w:val="22"/>
                <w:szCs w:val="22"/>
              </w:rPr>
              <w:t>CP</w:t>
            </w:r>
            <w:proofErr w:type="gramEnd"/>
            <w:r w:rsidRPr="00AE76B3">
              <w:rPr>
                <w:sz w:val="22"/>
                <w:szCs w:val="22"/>
              </w:rPr>
              <w:t>) can be derived from the events of the gates associated with a component and the role (SUT, Tester) of this component.</w:t>
            </w:r>
          </w:p>
          <w:p w:rsidR="00B16179" w:rsidRPr="006D031D" w:rsidRDefault="00B16179" w:rsidP="006D031D">
            <w:pPr>
              <w:spacing w:after="0" w:line="240" w:lineRule="auto"/>
            </w:pPr>
          </w:p>
          <w:p w:rsidR="00112F43" w:rsidRPr="006D031D" w:rsidRDefault="00112F43" w:rsidP="006D031D">
            <w:pPr>
              <w:spacing w:after="0" w:line="240" w:lineRule="auto"/>
            </w:pPr>
            <w:r w:rsidRPr="006D031D">
              <w:rPr>
                <w:sz w:val="22"/>
                <w:szCs w:val="22"/>
              </w:rPr>
              <w:t>Test configuration cannot be informal in the meta-model as it would turn them into a comment.</w:t>
            </w:r>
          </w:p>
          <w:p w:rsidR="00112F43" w:rsidRPr="006D031D" w:rsidRDefault="00112F43" w:rsidP="006D031D">
            <w:pPr>
              <w:spacing w:after="0" w:line="240" w:lineRule="auto"/>
            </w:pPr>
            <w:r w:rsidRPr="006D031D">
              <w:rPr>
                <w:sz w:val="22"/>
                <w:szCs w:val="22"/>
              </w:rPr>
              <w:t>In concrete syntax it may be created implicitly (“optional” element in concrete syntax)</w:t>
            </w:r>
          </w:p>
        </w:tc>
        <w:tc>
          <w:tcPr>
            <w:tcW w:w="1190" w:type="dxa"/>
            <w:vAlign w:val="center"/>
          </w:tcPr>
          <w:p w:rsidR="00112F43" w:rsidRPr="006D031D" w:rsidRDefault="00112F43" w:rsidP="006D031D">
            <w:pPr>
              <w:spacing w:after="0" w:line="240" w:lineRule="auto"/>
            </w:pPr>
            <w:r w:rsidRPr="006D031D">
              <w:rPr>
                <w:sz w:val="22"/>
                <w:szCs w:val="22"/>
              </w:rPr>
              <w:t>MTS</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Minor</w:t>
            </w:r>
          </w:p>
        </w:tc>
        <w:tc>
          <w:tcPr>
            <w:tcW w:w="3728" w:type="dxa"/>
            <w:vAlign w:val="center"/>
          </w:tcPr>
          <w:p w:rsidR="00112F43" w:rsidRPr="006D031D" w:rsidRDefault="00112F43" w:rsidP="006D031D">
            <w:pPr>
              <w:spacing w:after="0" w:line="240" w:lineRule="auto"/>
            </w:pPr>
            <w:r w:rsidRPr="006D031D">
              <w:rPr>
                <w:sz w:val="22"/>
                <w:szCs w:val="22"/>
              </w:rPr>
              <w:t>Request: to align type definitions for data (no type) with type definitions for gates and components (with types)</w:t>
            </w:r>
          </w:p>
        </w:tc>
        <w:tc>
          <w:tcPr>
            <w:tcW w:w="3458" w:type="dxa"/>
            <w:vAlign w:val="center"/>
          </w:tcPr>
          <w:p w:rsidR="00112F43" w:rsidRPr="006D031D" w:rsidRDefault="00112F43" w:rsidP="006D031D">
            <w:pPr>
              <w:spacing w:after="0" w:line="240" w:lineRule="auto"/>
            </w:pPr>
            <w:r w:rsidRPr="006D031D">
              <w:rPr>
                <w:sz w:val="22"/>
                <w:szCs w:val="22"/>
              </w:rPr>
              <w:t>To be investigated</w:t>
            </w:r>
          </w:p>
        </w:tc>
        <w:tc>
          <w:tcPr>
            <w:tcW w:w="1190" w:type="dxa"/>
            <w:vAlign w:val="center"/>
          </w:tcPr>
          <w:p w:rsidR="00112F43" w:rsidRPr="006D031D" w:rsidRDefault="00112F43" w:rsidP="006D031D">
            <w:pPr>
              <w:spacing w:after="0" w:line="240" w:lineRule="auto"/>
            </w:pPr>
            <w:r w:rsidRPr="006D031D">
              <w:rPr>
                <w:sz w:val="22"/>
                <w:szCs w:val="22"/>
              </w:rPr>
              <w:t>MTS,</w:t>
            </w:r>
          </w:p>
          <w:p w:rsidR="00112F43" w:rsidRPr="006D031D" w:rsidRDefault="00112F43" w:rsidP="006D031D">
            <w:pPr>
              <w:spacing w:after="0" w:line="240" w:lineRule="auto"/>
            </w:pPr>
            <w:proofErr w:type="spellStart"/>
            <w:r w:rsidRPr="006D031D">
              <w:rPr>
                <w:sz w:val="22"/>
                <w:szCs w:val="22"/>
              </w:rPr>
              <w:t>Confor-miq</w:t>
            </w:r>
            <w:proofErr w:type="spellEnd"/>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Minor</w:t>
            </w:r>
          </w:p>
        </w:tc>
        <w:tc>
          <w:tcPr>
            <w:tcW w:w="3728" w:type="dxa"/>
            <w:vAlign w:val="center"/>
          </w:tcPr>
          <w:p w:rsidR="00112F43" w:rsidRPr="006D031D" w:rsidRDefault="00112F43" w:rsidP="006D031D">
            <w:pPr>
              <w:spacing w:after="0" w:line="240" w:lineRule="auto"/>
              <w:rPr>
                <w:lang w:val="en-GB"/>
              </w:rPr>
            </w:pPr>
            <w:r w:rsidRPr="006D031D">
              <w:rPr>
                <w:sz w:val="22"/>
                <w:szCs w:val="22"/>
                <w:lang w:val="en-GB"/>
              </w:rPr>
              <w:t>Proposal: exceptional behaviour should be possible to be added at different levels: at least to test description (e.g. referencing its name), interaction flow, combined behaviour</w:t>
            </w:r>
          </w:p>
        </w:tc>
        <w:tc>
          <w:tcPr>
            <w:tcW w:w="3458" w:type="dxa"/>
            <w:vAlign w:val="center"/>
          </w:tcPr>
          <w:p w:rsidR="00112F43" w:rsidRPr="006D031D" w:rsidRDefault="00112F43" w:rsidP="006D031D">
            <w:pPr>
              <w:spacing w:after="0" w:line="240" w:lineRule="auto"/>
            </w:pPr>
            <w:r w:rsidRPr="006D031D">
              <w:rPr>
                <w:sz w:val="22"/>
                <w:szCs w:val="22"/>
              </w:rPr>
              <w:t>To be clarified</w:t>
            </w:r>
          </w:p>
          <w:p w:rsidR="00112F43" w:rsidRPr="006D031D" w:rsidRDefault="00112F43" w:rsidP="006D031D">
            <w:pPr>
              <w:spacing w:after="0" w:line="240" w:lineRule="auto"/>
            </w:pPr>
          </w:p>
          <w:p w:rsidR="00112F43" w:rsidRPr="006D031D" w:rsidRDefault="00112F43" w:rsidP="006D031D">
            <w:pPr>
              <w:spacing w:after="0" w:line="240" w:lineRule="auto"/>
            </w:pPr>
            <w:r w:rsidRPr="006D031D">
              <w:rPr>
                <w:sz w:val="22"/>
                <w:szCs w:val="22"/>
              </w:rPr>
              <w:t>‘</w:t>
            </w:r>
            <w:proofErr w:type="spellStart"/>
            <w:r w:rsidRPr="006D031D">
              <w:rPr>
                <w:sz w:val="22"/>
                <w:szCs w:val="22"/>
              </w:rPr>
              <w:t>ExceptionalBehaviour</w:t>
            </w:r>
            <w:proofErr w:type="spellEnd"/>
            <w:r w:rsidRPr="006D031D">
              <w:rPr>
                <w:sz w:val="22"/>
                <w:szCs w:val="22"/>
              </w:rPr>
              <w:t>’ is an optional element of a ‘</w:t>
            </w:r>
            <w:proofErr w:type="spellStart"/>
            <w:r w:rsidRPr="006D031D">
              <w:rPr>
                <w:sz w:val="22"/>
                <w:szCs w:val="22"/>
              </w:rPr>
              <w:t>CombinedBehaviour</w:t>
            </w:r>
            <w:proofErr w:type="spellEnd"/>
            <w:r w:rsidRPr="006D031D">
              <w:rPr>
                <w:sz w:val="22"/>
                <w:szCs w:val="22"/>
              </w:rPr>
              <w:t>’ which in turn can occur at all levels where ‘</w:t>
            </w:r>
            <w:proofErr w:type="spellStart"/>
            <w:r w:rsidRPr="006D031D">
              <w:rPr>
                <w:sz w:val="22"/>
                <w:szCs w:val="22"/>
              </w:rPr>
              <w:t>Behaviour</w:t>
            </w:r>
            <w:proofErr w:type="spellEnd"/>
            <w:r w:rsidRPr="006D031D">
              <w:rPr>
                <w:sz w:val="22"/>
                <w:szCs w:val="22"/>
              </w:rPr>
              <w:t>’ can be specified, i.e. at the top level of a TD or in any nested blocks.</w:t>
            </w:r>
          </w:p>
        </w:tc>
        <w:tc>
          <w:tcPr>
            <w:tcW w:w="1190" w:type="dxa"/>
            <w:vAlign w:val="center"/>
          </w:tcPr>
          <w:p w:rsidR="00112F43" w:rsidRPr="006D031D" w:rsidRDefault="00112F43" w:rsidP="006D031D">
            <w:pPr>
              <w:spacing w:after="0" w:line="240" w:lineRule="auto"/>
            </w:pPr>
            <w:r w:rsidRPr="006D031D">
              <w:rPr>
                <w:sz w:val="22"/>
                <w:szCs w:val="22"/>
              </w:rPr>
              <w:t>E///</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Minor</w:t>
            </w:r>
          </w:p>
        </w:tc>
        <w:tc>
          <w:tcPr>
            <w:tcW w:w="3728" w:type="dxa"/>
            <w:vAlign w:val="center"/>
          </w:tcPr>
          <w:p w:rsidR="00112F43" w:rsidRPr="006D031D" w:rsidRDefault="00112F43" w:rsidP="006D031D">
            <w:pPr>
              <w:spacing w:after="0" w:line="240" w:lineRule="auto"/>
              <w:rPr>
                <w:rFonts w:cs="Times New Roman"/>
                <w:lang w:val="en-GB"/>
              </w:rPr>
            </w:pPr>
            <w:r w:rsidRPr="006D031D">
              <w:rPr>
                <w:rFonts w:cs="Times New Roman"/>
                <w:sz w:val="22"/>
                <w:szCs w:val="22"/>
                <w:lang w:val="en-GB"/>
              </w:rPr>
              <w:t>Timeout event</w:t>
            </w:r>
          </w:p>
          <w:p w:rsidR="00112F43" w:rsidRPr="006D031D" w:rsidRDefault="00112F43" w:rsidP="006D031D">
            <w:pPr>
              <w:spacing w:after="0" w:line="240" w:lineRule="auto"/>
              <w:rPr>
                <w:rFonts w:cs="Times New Roman"/>
                <w:lang w:val="en-GB"/>
              </w:rPr>
            </w:pPr>
            <w:r w:rsidRPr="006D031D">
              <w:rPr>
                <w:rFonts w:cs="Times New Roman"/>
                <w:sz w:val="22"/>
                <w:szCs w:val="22"/>
                <w:lang w:val="en-GB"/>
              </w:rPr>
              <w:t>Clause 8.3 defines a timeout event as “denotes the end point of a time interval, in which no gate interaction events at the associated gate instance occur that could be received by a tester component”. It is unclear, why a relation of a timeout event and other, previous events is needed and why this limitation?</w:t>
            </w:r>
          </w:p>
          <w:p w:rsidR="00112F43" w:rsidRPr="006D031D" w:rsidRDefault="00112F43" w:rsidP="006D031D">
            <w:pPr>
              <w:spacing w:after="0" w:line="240" w:lineRule="auto"/>
              <w:rPr>
                <w:rFonts w:cs="Times New Roman"/>
                <w:lang w:val="en-GB"/>
              </w:rPr>
            </w:pPr>
            <w:r w:rsidRPr="006D031D">
              <w:rPr>
                <w:rFonts w:cs="Times New Roman"/>
                <w:sz w:val="22"/>
                <w:szCs w:val="22"/>
                <w:lang w:val="en-GB"/>
              </w:rPr>
              <w:t>Proposal: delete the above limitation</w:t>
            </w:r>
          </w:p>
        </w:tc>
        <w:tc>
          <w:tcPr>
            <w:tcW w:w="3458" w:type="dxa"/>
            <w:vAlign w:val="center"/>
          </w:tcPr>
          <w:p w:rsidR="00112F43" w:rsidRPr="006D031D" w:rsidRDefault="00112F43" w:rsidP="006D031D">
            <w:pPr>
              <w:spacing w:after="0" w:line="240" w:lineRule="auto"/>
            </w:pPr>
            <w:r w:rsidRPr="006D031D">
              <w:rPr>
                <w:sz w:val="22"/>
                <w:szCs w:val="22"/>
              </w:rPr>
              <w:t>The ‘</w:t>
            </w:r>
            <w:proofErr w:type="spellStart"/>
            <w:r w:rsidRPr="006D031D">
              <w:rPr>
                <w:sz w:val="22"/>
                <w:szCs w:val="22"/>
              </w:rPr>
              <w:t>TimeOutEvent</w:t>
            </w:r>
            <w:proofErr w:type="spellEnd"/>
            <w:r w:rsidRPr="006D031D">
              <w:rPr>
                <w:sz w:val="22"/>
                <w:szCs w:val="22"/>
              </w:rPr>
              <w:t>’ denotes a quiescence observation by the tester since the last SUT output was observed (or since start of TD if nothing at all was observed). Therefore the reference to a previous output is needed to calculate the time for a tester to wait until it can state quiescence and continue execution.</w:t>
            </w:r>
          </w:p>
          <w:p w:rsidR="00112F43" w:rsidRPr="006D031D" w:rsidRDefault="00112F43" w:rsidP="006D031D">
            <w:pPr>
              <w:spacing w:after="0" w:line="240" w:lineRule="auto"/>
            </w:pPr>
            <w:r w:rsidRPr="006D031D">
              <w:rPr>
                <w:sz w:val="22"/>
                <w:szCs w:val="22"/>
              </w:rPr>
              <w:t>The text in the draft will be updated.</w:t>
            </w:r>
          </w:p>
        </w:tc>
        <w:tc>
          <w:tcPr>
            <w:tcW w:w="1190" w:type="dxa"/>
            <w:vAlign w:val="center"/>
          </w:tcPr>
          <w:p w:rsidR="00112F43" w:rsidRPr="006D031D" w:rsidRDefault="00112F43" w:rsidP="006D031D">
            <w:pPr>
              <w:spacing w:after="0" w:line="240" w:lineRule="auto"/>
            </w:pPr>
            <w:r w:rsidRPr="006D031D">
              <w:rPr>
                <w:sz w:val="22"/>
                <w:szCs w:val="22"/>
              </w:rPr>
              <w:t>E///</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Minor</w:t>
            </w:r>
          </w:p>
        </w:tc>
        <w:tc>
          <w:tcPr>
            <w:tcW w:w="3728" w:type="dxa"/>
            <w:vAlign w:val="center"/>
          </w:tcPr>
          <w:p w:rsidR="00112F43" w:rsidRPr="006D031D" w:rsidRDefault="00112F43" w:rsidP="006D031D">
            <w:pPr>
              <w:spacing w:after="0" w:line="240" w:lineRule="auto"/>
              <w:rPr>
                <w:lang w:val="en-GB"/>
              </w:rPr>
            </w:pPr>
            <w:r w:rsidRPr="006D031D">
              <w:rPr>
                <w:sz w:val="22"/>
                <w:szCs w:val="22"/>
                <w:lang w:val="en-GB"/>
              </w:rPr>
              <w:t>Verdicts</w:t>
            </w:r>
          </w:p>
          <w:p w:rsidR="00112F43" w:rsidRPr="006D031D" w:rsidRDefault="00112F43" w:rsidP="006D031D">
            <w:pPr>
              <w:spacing w:after="0" w:line="240" w:lineRule="auto"/>
              <w:rPr>
                <w:lang w:val="en-GB"/>
              </w:rPr>
            </w:pPr>
            <w:r w:rsidRPr="006D031D">
              <w:rPr>
                <w:sz w:val="22"/>
                <w:szCs w:val="22"/>
                <w:lang w:val="en-GB"/>
              </w:rPr>
              <w:t>Proposal: Delete None and Error</w:t>
            </w:r>
          </w:p>
        </w:tc>
        <w:tc>
          <w:tcPr>
            <w:tcW w:w="3458" w:type="dxa"/>
            <w:vAlign w:val="center"/>
          </w:tcPr>
          <w:p w:rsidR="00112F43" w:rsidRPr="006D031D" w:rsidRDefault="00112F43" w:rsidP="006D031D">
            <w:pPr>
              <w:spacing w:after="0" w:line="240" w:lineRule="auto"/>
            </w:pPr>
            <w:r w:rsidRPr="006D031D">
              <w:rPr>
                <w:sz w:val="22"/>
                <w:szCs w:val="22"/>
              </w:rPr>
              <w:t>Accepted</w:t>
            </w:r>
          </w:p>
        </w:tc>
        <w:tc>
          <w:tcPr>
            <w:tcW w:w="1190" w:type="dxa"/>
            <w:vAlign w:val="center"/>
          </w:tcPr>
          <w:p w:rsidR="00112F43" w:rsidRPr="006D031D" w:rsidRDefault="00112F43" w:rsidP="006D031D">
            <w:pPr>
              <w:spacing w:after="0" w:line="240" w:lineRule="auto"/>
            </w:pPr>
            <w:r w:rsidRPr="006D031D">
              <w:rPr>
                <w:sz w:val="22"/>
                <w:szCs w:val="22"/>
              </w:rPr>
              <w:t>E///</w:t>
            </w:r>
          </w:p>
        </w:tc>
      </w:tr>
      <w:tr w:rsidR="00112F43" w:rsidRPr="00642898" w:rsidTr="006D031D">
        <w:trPr>
          <w:cantSplit/>
        </w:trPr>
        <w:tc>
          <w:tcPr>
            <w:tcW w:w="1200" w:type="dxa"/>
            <w:vAlign w:val="center"/>
          </w:tcPr>
          <w:p w:rsidR="00112F43" w:rsidRPr="006D031D" w:rsidRDefault="00112F43" w:rsidP="006D031D">
            <w:pPr>
              <w:spacing w:after="0" w:line="240" w:lineRule="auto"/>
            </w:pPr>
            <w:r w:rsidRPr="006D031D">
              <w:rPr>
                <w:sz w:val="22"/>
                <w:szCs w:val="22"/>
              </w:rPr>
              <w:t>Minor</w:t>
            </w:r>
          </w:p>
        </w:tc>
        <w:tc>
          <w:tcPr>
            <w:tcW w:w="3728" w:type="dxa"/>
            <w:vAlign w:val="center"/>
          </w:tcPr>
          <w:p w:rsidR="00112F43" w:rsidRPr="006D031D" w:rsidRDefault="00112F43" w:rsidP="006D031D">
            <w:pPr>
              <w:spacing w:after="0" w:line="240" w:lineRule="auto"/>
            </w:pPr>
            <w:r w:rsidRPr="006D031D">
              <w:rPr>
                <w:sz w:val="22"/>
                <w:szCs w:val="22"/>
              </w:rPr>
              <w:t xml:space="preserve">Where is TDL supposed to be in between </w:t>
            </w:r>
            <w:proofErr w:type="spellStart"/>
            <w:r w:rsidRPr="006D031D">
              <w:rPr>
                <w:sz w:val="22"/>
                <w:szCs w:val="22"/>
              </w:rPr>
              <w:t>TPLan</w:t>
            </w:r>
            <w:proofErr w:type="spellEnd"/>
            <w:r w:rsidRPr="006D031D">
              <w:rPr>
                <w:sz w:val="22"/>
                <w:szCs w:val="22"/>
              </w:rPr>
              <w:t xml:space="preserve"> and TTCN-3 (right?). How can one interrelate </w:t>
            </w:r>
            <w:proofErr w:type="spellStart"/>
            <w:r w:rsidRPr="006D031D">
              <w:rPr>
                <w:sz w:val="22"/>
                <w:szCs w:val="22"/>
              </w:rPr>
              <w:t>TPLan</w:t>
            </w:r>
            <w:proofErr w:type="spellEnd"/>
            <w:r w:rsidRPr="006D031D">
              <w:rPr>
                <w:sz w:val="22"/>
                <w:szCs w:val="22"/>
              </w:rPr>
              <w:t xml:space="preserve">, TDL, and TTCN-3 specification for a given technology/system? How can one trace between the three? For example, how can one refer to a test suite structure in TDL? </w:t>
            </w:r>
          </w:p>
        </w:tc>
        <w:tc>
          <w:tcPr>
            <w:tcW w:w="3458" w:type="dxa"/>
            <w:vAlign w:val="center"/>
          </w:tcPr>
          <w:p w:rsidR="009B7915" w:rsidRPr="006D031D" w:rsidRDefault="00112F43" w:rsidP="006D031D">
            <w:pPr>
              <w:spacing w:after="0" w:line="240" w:lineRule="auto"/>
            </w:pPr>
            <w:r w:rsidRPr="006D031D">
              <w:rPr>
                <w:sz w:val="22"/>
                <w:szCs w:val="22"/>
              </w:rPr>
              <w:t xml:space="preserve">TDL is intended to support the Test Description Specification phase at ETSI. Tracing to a </w:t>
            </w:r>
            <w:proofErr w:type="spellStart"/>
            <w:r w:rsidRPr="006D031D">
              <w:rPr>
                <w:sz w:val="22"/>
                <w:szCs w:val="22"/>
              </w:rPr>
              <w:t>TPLan</w:t>
            </w:r>
            <w:proofErr w:type="spellEnd"/>
            <w:r w:rsidRPr="006D031D">
              <w:rPr>
                <w:sz w:val="22"/>
                <w:szCs w:val="22"/>
              </w:rPr>
              <w:t xml:space="preserve"> spec is supported by the ‘</w:t>
            </w:r>
            <w:proofErr w:type="spellStart"/>
            <w:r w:rsidRPr="006D031D">
              <w:rPr>
                <w:sz w:val="22"/>
                <w:szCs w:val="22"/>
              </w:rPr>
              <w:t>TestObjective</w:t>
            </w:r>
            <w:proofErr w:type="spellEnd"/>
            <w:r w:rsidRPr="006D031D">
              <w:rPr>
                <w:sz w:val="22"/>
                <w:szCs w:val="22"/>
              </w:rPr>
              <w:t>’ element in the MM. Tracing to TTCN-3 code is out of scope for TDL.</w:t>
            </w:r>
          </w:p>
          <w:p w:rsidR="00112F43" w:rsidRPr="006D031D" w:rsidRDefault="00112F43" w:rsidP="006D031D">
            <w:pPr>
              <w:spacing w:after="0" w:line="240" w:lineRule="auto"/>
            </w:pPr>
            <w:r w:rsidRPr="006D031D">
              <w:rPr>
                <w:sz w:val="22"/>
                <w:szCs w:val="22"/>
              </w:rPr>
              <w:t>Introduction chapter will be extended</w:t>
            </w:r>
            <w:r w:rsidR="009B7915">
              <w:rPr>
                <w:sz w:val="22"/>
                <w:szCs w:val="22"/>
              </w:rPr>
              <w:t>.</w:t>
            </w:r>
          </w:p>
        </w:tc>
        <w:tc>
          <w:tcPr>
            <w:tcW w:w="1190" w:type="dxa"/>
            <w:vAlign w:val="center"/>
          </w:tcPr>
          <w:p w:rsidR="00112F43" w:rsidRPr="006D031D" w:rsidRDefault="00112F43" w:rsidP="006D031D">
            <w:pPr>
              <w:spacing w:after="0" w:line="240" w:lineRule="auto"/>
            </w:pPr>
            <w:r w:rsidRPr="006D031D">
              <w:rPr>
                <w:sz w:val="22"/>
                <w:szCs w:val="22"/>
              </w:rPr>
              <w:t>Ina</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pPr>
            <w:r w:rsidRPr="006D031D">
              <w:rPr>
                <w:sz w:val="22"/>
                <w:szCs w:val="22"/>
              </w:rPr>
              <w:t>Test Case Flag: At least rename or even better drop the Test _Case_ Flag, create a consistent solution (e.g., by using instead annotation for this purpose)</w:t>
            </w:r>
          </w:p>
        </w:tc>
        <w:tc>
          <w:tcPr>
            <w:tcW w:w="3458" w:type="dxa"/>
          </w:tcPr>
          <w:p w:rsidR="00112F43" w:rsidRPr="006D031D" w:rsidRDefault="00112F43" w:rsidP="006D031D">
            <w:pPr>
              <w:spacing w:after="0" w:line="240" w:lineRule="auto"/>
            </w:pPr>
            <w:r w:rsidRPr="006D031D">
              <w:rPr>
                <w:sz w:val="22"/>
                <w:szCs w:val="22"/>
              </w:rPr>
              <w:t>To be investigated</w:t>
            </w:r>
          </w:p>
          <w:p w:rsidR="00112F43" w:rsidRPr="006D031D" w:rsidRDefault="00112F43" w:rsidP="006D031D">
            <w:pPr>
              <w:spacing w:after="0" w:line="240" w:lineRule="auto"/>
            </w:pPr>
          </w:p>
          <w:p w:rsidR="00112F43" w:rsidRPr="006D031D" w:rsidRDefault="00112F43" w:rsidP="006D031D">
            <w:pPr>
              <w:spacing w:after="0" w:line="240" w:lineRule="auto"/>
            </w:pPr>
            <w:r w:rsidRPr="006D031D">
              <w:rPr>
                <w:sz w:val="22"/>
                <w:szCs w:val="22"/>
              </w:rPr>
              <w:t>Possible solution is to rename it ‘</w:t>
            </w:r>
            <w:proofErr w:type="spellStart"/>
            <w:r w:rsidRPr="006D031D">
              <w:rPr>
                <w:sz w:val="22"/>
                <w:szCs w:val="22"/>
              </w:rPr>
              <w:t>isEntry</w:t>
            </w:r>
            <w:proofErr w:type="spellEnd"/>
            <w:r w:rsidRPr="006D031D">
              <w:rPr>
                <w:sz w:val="22"/>
                <w:szCs w:val="22"/>
              </w:rPr>
              <w:t>’ flag.</w:t>
            </w:r>
          </w:p>
        </w:tc>
        <w:tc>
          <w:tcPr>
            <w:tcW w:w="1190" w:type="dxa"/>
          </w:tcPr>
          <w:p w:rsidR="00112F43" w:rsidRPr="006D031D" w:rsidRDefault="00112F43" w:rsidP="006D031D">
            <w:pPr>
              <w:spacing w:after="0" w:line="240" w:lineRule="auto"/>
            </w:pPr>
            <w:r w:rsidRPr="006D031D">
              <w:rPr>
                <w:sz w:val="22"/>
                <w:szCs w:val="22"/>
              </w:rPr>
              <w:t>MTS, Ina</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pPr>
            <w:r w:rsidRPr="006D031D">
              <w:rPr>
                <w:sz w:val="22"/>
                <w:szCs w:val="22"/>
              </w:rPr>
              <w:t>May I ask to position TDL in the figure (would be good to have a number for it) on page 10. Does it target Test Descriptions (TD) or also other tasks of the test specification development process?</w:t>
            </w:r>
          </w:p>
        </w:tc>
        <w:tc>
          <w:tcPr>
            <w:tcW w:w="3458" w:type="dxa"/>
          </w:tcPr>
          <w:p w:rsidR="00112F43" w:rsidRPr="006D031D" w:rsidRDefault="00112F43" w:rsidP="006D031D">
            <w:pPr>
              <w:spacing w:after="0" w:line="240" w:lineRule="auto"/>
            </w:pPr>
            <w:r w:rsidRPr="006D031D">
              <w:rPr>
                <w:sz w:val="22"/>
                <w:szCs w:val="22"/>
              </w:rPr>
              <w:t>TDL is intended to support the Test Description Specification phase at ETSI.</w:t>
            </w:r>
          </w:p>
          <w:p w:rsidR="00112F43" w:rsidRPr="006D031D" w:rsidRDefault="00112F43" w:rsidP="006D031D">
            <w:pPr>
              <w:spacing w:after="0" w:line="240" w:lineRule="auto"/>
            </w:pPr>
            <w:r w:rsidRPr="006D031D">
              <w:rPr>
                <w:sz w:val="22"/>
                <w:szCs w:val="22"/>
              </w:rPr>
              <w:t>Introduction chapter will be extended</w:t>
            </w:r>
          </w:p>
        </w:tc>
        <w:tc>
          <w:tcPr>
            <w:tcW w:w="1190" w:type="dxa"/>
          </w:tcPr>
          <w:p w:rsidR="00112F43" w:rsidRPr="006D031D" w:rsidRDefault="00112F43" w:rsidP="006D031D">
            <w:pPr>
              <w:spacing w:after="0" w:line="240" w:lineRule="auto"/>
            </w:pPr>
            <w:r w:rsidRPr="006D031D">
              <w:rPr>
                <w:sz w:val="22"/>
                <w:szCs w:val="22"/>
              </w:rPr>
              <w:t>Ina</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pPr>
            <w:r w:rsidRPr="006D031D">
              <w:rPr>
                <w:sz w:val="22"/>
                <w:szCs w:val="22"/>
              </w:rPr>
              <w:t>May I also ask to have UTP added as a reference?</w:t>
            </w:r>
          </w:p>
        </w:tc>
        <w:tc>
          <w:tcPr>
            <w:tcW w:w="3458" w:type="dxa"/>
          </w:tcPr>
          <w:p w:rsidR="00112F43" w:rsidRPr="006D031D" w:rsidRDefault="00112F43" w:rsidP="006D031D">
            <w:pPr>
              <w:spacing w:after="0" w:line="240" w:lineRule="auto"/>
            </w:pPr>
            <w:r w:rsidRPr="006D031D">
              <w:rPr>
                <w:sz w:val="22"/>
                <w:szCs w:val="22"/>
              </w:rPr>
              <w:t>Accepted</w:t>
            </w:r>
          </w:p>
        </w:tc>
        <w:tc>
          <w:tcPr>
            <w:tcW w:w="1190" w:type="dxa"/>
          </w:tcPr>
          <w:p w:rsidR="00112F43" w:rsidRPr="006D031D" w:rsidRDefault="00112F43" w:rsidP="006D031D">
            <w:pPr>
              <w:spacing w:after="0" w:line="240" w:lineRule="auto"/>
            </w:pPr>
            <w:r w:rsidRPr="006D031D">
              <w:rPr>
                <w:sz w:val="22"/>
                <w:szCs w:val="22"/>
              </w:rPr>
              <w:t>Ina</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pPr>
            <w:r w:rsidRPr="006D031D">
              <w:rPr>
                <w:sz w:val="22"/>
                <w:szCs w:val="22"/>
              </w:rPr>
              <w:t>Role: Tester/</w:t>
            </w:r>
            <w:proofErr w:type="spellStart"/>
            <w:r w:rsidRPr="006D031D">
              <w:rPr>
                <w:sz w:val="22"/>
                <w:szCs w:val="22"/>
              </w:rPr>
              <w:t>Sut</w:t>
            </w:r>
            <w:proofErr w:type="spellEnd"/>
            <w:r w:rsidRPr="006D031D">
              <w:rPr>
                <w:sz w:val="22"/>
                <w:szCs w:val="22"/>
              </w:rPr>
              <w:t>: Proposal to replace Tester by: Test System – term “Tester” is overloaded with meaning</w:t>
            </w:r>
          </w:p>
        </w:tc>
        <w:tc>
          <w:tcPr>
            <w:tcW w:w="3458" w:type="dxa"/>
          </w:tcPr>
          <w:p w:rsidR="00112F43" w:rsidRPr="006D031D" w:rsidRDefault="00112F43" w:rsidP="006D031D">
            <w:pPr>
              <w:spacing w:after="0" w:line="240" w:lineRule="auto"/>
            </w:pPr>
            <w:r w:rsidRPr="006D031D">
              <w:rPr>
                <w:sz w:val="22"/>
                <w:szCs w:val="22"/>
              </w:rPr>
              <w:t>To be discussed further.</w:t>
            </w:r>
          </w:p>
          <w:p w:rsidR="00112F43" w:rsidRPr="006D031D" w:rsidRDefault="00112F43" w:rsidP="006D031D">
            <w:pPr>
              <w:spacing w:after="0" w:line="240" w:lineRule="auto"/>
            </w:pPr>
          </w:p>
          <w:p w:rsidR="00112F43" w:rsidRPr="006D031D" w:rsidRDefault="00112F43" w:rsidP="006D031D">
            <w:pPr>
              <w:spacing w:after="0" w:line="240" w:lineRule="auto"/>
            </w:pPr>
            <w:r w:rsidRPr="006D031D">
              <w:rPr>
                <w:sz w:val="22"/>
                <w:szCs w:val="22"/>
              </w:rPr>
              <w:t>‘Tester’ is a standard term. TDL makes no assumptions whether it refers to a person or a machine or anything else.</w:t>
            </w:r>
          </w:p>
        </w:tc>
        <w:tc>
          <w:tcPr>
            <w:tcW w:w="1190" w:type="dxa"/>
          </w:tcPr>
          <w:p w:rsidR="00112F43" w:rsidRPr="006D031D" w:rsidRDefault="00112F43" w:rsidP="006D031D">
            <w:pPr>
              <w:spacing w:after="0" w:line="240" w:lineRule="auto"/>
            </w:pPr>
            <w:r w:rsidRPr="006D031D">
              <w:rPr>
                <w:sz w:val="22"/>
                <w:szCs w:val="22"/>
              </w:rPr>
              <w:t xml:space="preserve">MTS, </w:t>
            </w:r>
            <w:proofErr w:type="spellStart"/>
            <w:r w:rsidRPr="006D031D">
              <w:rPr>
                <w:sz w:val="22"/>
                <w:szCs w:val="22"/>
              </w:rPr>
              <w:t>Confor-miq</w:t>
            </w:r>
            <w:proofErr w:type="spellEnd"/>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pPr>
            <w:r w:rsidRPr="006D031D">
              <w:rPr>
                <w:sz w:val="22"/>
                <w:szCs w:val="22"/>
              </w:rPr>
              <w:t xml:space="preserve">The term “Test Objective” is confusing although the intent was to generalize on test purpose – MTS would prefer to use test purpose in alignment with ETSI’s current test specification processes. </w:t>
            </w:r>
            <w:proofErr w:type="spellStart"/>
            <w:r w:rsidRPr="006D031D">
              <w:rPr>
                <w:sz w:val="22"/>
                <w:szCs w:val="22"/>
              </w:rPr>
              <w:t>TPLan</w:t>
            </w:r>
            <w:proofErr w:type="spellEnd"/>
            <w:r w:rsidRPr="006D031D">
              <w:rPr>
                <w:sz w:val="22"/>
                <w:szCs w:val="22"/>
              </w:rPr>
              <w:t xml:space="preserve"> must be referenced here.</w:t>
            </w:r>
          </w:p>
        </w:tc>
        <w:tc>
          <w:tcPr>
            <w:tcW w:w="3458" w:type="dxa"/>
          </w:tcPr>
          <w:p w:rsidR="00112F43" w:rsidRPr="006D031D" w:rsidRDefault="00112F43" w:rsidP="006D031D">
            <w:pPr>
              <w:spacing w:after="0" w:line="240" w:lineRule="auto"/>
            </w:pPr>
            <w:r w:rsidRPr="006D031D">
              <w:rPr>
                <w:sz w:val="22"/>
                <w:szCs w:val="22"/>
              </w:rPr>
              <w:t>The ‘</w:t>
            </w:r>
            <w:proofErr w:type="spellStart"/>
            <w:r w:rsidRPr="006D031D">
              <w:rPr>
                <w:sz w:val="22"/>
                <w:szCs w:val="22"/>
              </w:rPr>
              <w:t>TestObjective</w:t>
            </w:r>
            <w:proofErr w:type="spellEnd"/>
            <w:r w:rsidRPr="006D031D">
              <w:rPr>
                <w:sz w:val="22"/>
                <w:szCs w:val="22"/>
              </w:rPr>
              <w:t>’ element can be renamed to ‘</w:t>
            </w:r>
            <w:proofErr w:type="spellStart"/>
            <w:r w:rsidRPr="006D031D">
              <w:rPr>
                <w:sz w:val="22"/>
                <w:szCs w:val="22"/>
              </w:rPr>
              <w:t>TestPurpose</w:t>
            </w:r>
            <w:proofErr w:type="spellEnd"/>
            <w:r w:rsidRPr="006D031D">
              <w:rPr>
                <w:sz w:val="22"/>
                <w:szCs w:val="22"/>
              </w:rPr>
              <w:t xml:space="preserve">’ to better reflect the ETSI process. </w:t>
            </w:r>
          </w:p>
        </w:tc>
        <w:tc>
          <w:tcPr>
            <w:tcW w:w="1190" w:type="dxa"/>
          </w:tcPr>
          <w:p w:rsidR="00112F43" w:rsidRPr="006D031D" w:rsidRDefault="00112F43" w:rsidP="006D031D">
            <w:pPr>
              <w:spacing w:after="0" w:line="240" w:lineRule="auto"/>
            </w:pPr>
            <w:r w:rsidRPr="006D031D">
              <w:rPr>
                <w:sz w:val="22"/>
                <w:szCs w:val="22"/>
              </w:rPr>
              <w:t>MTS, Ina</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rPr>
                <w:lang w:val="en-GB"/>
              </w:rPr>
            </w:pPr>
            <w:r w:rsidRPr="006D031D">
              <w:rPr>
                <w:sz w:val="22"/>
                <w:szCs w:val="22"/>
                <w:lang w:val="en-GB"/>
              </w:rPr>
              <w:t>Proposal : Use “Termination” instead of  “Exit” (note also item 8 in this list)</w:t>
            </w:r>
          </w:p>
        </w:tc>
        <w:tc>
          <w:tcPr>
            <w:tcW w:w="3458" w:type="dxa"/>
          </w:tcPr>
          <w:p w:rsidR="00112F43" w:rsidRPr="006D031D" w:rsidRDefault="00112F43" w:rsidP="006D031D">
            <w:pPr>
              <w:spacing w:after="0" w:line="240" w:lineRule="auto"/>
            </w:pPr>
            <w:r w:rsidRPr="006D031D">
              <w:rPr>
                <w:sz w:val="22"/>
                <w:szCs w:val="22"/>
              </w:rPr>
              <w:t>To be investigated</w:t>
            </w:r>
          </w:p>
          <w:p w:rsidR="00112F43" w:rsidRPr="006D031D" w:rsidRDefault="00112F43" w:rsidP="006D031D">
            <w:pPr>
              <w:spacing w:after="0" w:line="240" w:lineRule="auto"/>
            </w:pPr>
          </w:p>
          <w:p w:rsidR="00112F43" w:rsidRPr="006D031D" w:rsidRDefault="00112F43" w:rsidP="00BC0D38">
            <w:pPr>
              <w:spacing w:after="0" w:line="240" w:lineRule="auto"/>
            </w:pPr>
            <w:r w:rsidRPr="006D031D">
              <w:rPr>
                <w:sz w:val="22"/>
                <w:szCs w:val="22"/>
              </w:rPr>
              <w:t>The element could be renamed to ‘</w:t>
            </w:r>
            <w:proofErr w:type="spellStart"/>
            <w:r w:rsidRPr="006D031D">
              <w:rPr>
                <w:sz w:val="22"/>
                <w:szCs w:val="22"/>
              </w:rPr>
              <w:t>StopE</w:t>
            </w:r>
            <w:r w:rsidR="00BC0D38">
              <w:rPr>
                <w:sz w:val="22"/>
                <w:szCs w:val="22"/>
              </w:rPr>
              <w:t>v</w:t>
            </w:r>
            <w:r w:rsidRPr="006D031D">
              <w:rPr>
                <w:sz w:val="22"/>
                <w:szCs w:val="22"/>
              </w:rPr>
              <w:t>ent</w:t>
            </w:r>
            <w:proofErr w:type="spellEnd"/>
            <w:r w:rsidRPr="006D031D">
              <w:rPr>
                <w:sz w:val="22"/>
                <w:szCs w:val="22"/>
              </w:rPr>
              <w:t>’.</w:t>
            </w:r>
            <w:r w:rsidR="00BC0D38">
              <w:rPr>
                <w:sz w:val="22"/>
                <w:szCs w:val="22"/>
              </w:rPr>
              <w:t xml:space="preserve"> The need of an additional ‘</w:t>
            </w:r>
            <w:proofErr w:type="spellStart"/>
            <w:r w:rsidR="00BC0D38">
              <w:rPr>
                <w:sz w:val="22"/>
                <w:szCs w:val="22"/>
              </w:rPr>
              <w:t>ExitEvent</w:t>
            </w:r>
            <w:proofErr w:type="spellEnd"/>
            <w:r w:rsidR="00BC0D38">
              <w:rPr>
                <w:sz w:val="22"/>
                <w:szCs w:val="22"/>
              </w:rPr>
              <w:t>’ that only terminates the flow of the currently executed TD (in case of nested TD calls) needs to be investigate.</w:t>
            </w:r>
          </w:p>
        </w:tc>
        <w:tc>
          <w:tcPr>
            <w:tcW w:w="1190" w:type="dxa"/>
          </w:tcPr>
          <w:p w:rsidR="00112F43" w:rsidRPr="006D031D" w:rsidRDefault="00112F43" w:rsidP="006D031D">
            <w:pPr>
              <w:spacing w:after="0" w:line="240" w:lineRule="auto"/>
            </w:pPr>
            <w:r w:rsidRPr="006D031D">
              <w:rPr>
                <w:sz w:val="22"/>
                <w:szCs w:val="22"/>
              </w:rPr>
              <w:t>MTS</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rPr>
                <w:lang w:val="en-GB"/>
              </w:rPr>
            </w:pPr>
            <w:r w:rsidRPr="006D031D">
              <w:rPr>
                <w:sz w:val="22"/>
                <w:szCs w:val="22"/>
                <w:lang w:val="en-GB"/>
              </w:rPr>
              <w:t>Proposal : Use more generic “Output/input event” in text instead of  ‘send/receive message’</w:t>
            </w:r>
          </w:p>
        </w:tc>
        <w:tc>
          <w:tcPr>
            <w:tcW w:w="3458" w:type="dxa"/>
          </w:tcPr>
          <w:p w:rsidR="00112F43" w:rsidRPr="006D031D" w:rsidRDefault="00112F43" w:rsidP="006D031D">
            <w:pPr>
              <w:spacing w:after="0" w:line="240" w:lineRule="auto"/>
            </w:pPr>
            <w:r w:rsidRPr="006D031D">
              <w:rPr>
                <w:sz w:val="22"/>
                <w:szCs w:val="22"/>
              </w:rPr>
              <w:t>Accepted</w:t>
            </w:r>
          </w:p>
        </w:tc>
        <w:tc>
          <w:tcPr>
            <w:tcW w:w="1190" w:type="dxa"/>
          </w:tcPr>
          <w:p w:rsidR="00112F43" w:rsidRPr="006D031D" w:rsidRDefault="00112F43" w:rsidP="006D031D">
            <w:pPr>
              <w:spacing w:after="0" w:line="240" w:lineRule="auto"/>
            </w:pPr>
            <w:r w:rsidRPr="006D031D">
              <w:rPr>
                <w:sz w:val="22"/>
                <w:szCs w:val="22"/>
              </w:rPr>
              <w:t>MTS</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rPr>
                <w:lang w:val="en-GB"/>
              </w:rPr>
            </w:pPr>
            <w:bookmarkStart w:id="0" w:name="_Toc355966339"/>
            <w:r w:rsidRPr="006D031D">
              <w:rPr>
                <w:sz w:val="22"/>
                <w:szCs w:val="22"/>
                <w:lang w:val="en-GB"/>
              </w:rPr>
              <w:t>TDL model vs. TDL specification</w:t>
            </w:r>
            <w:bookmarkEnd w:id="0"/>
          </w:p>
          <w:p w:rsidR="00112F43" w:rsidRPr="006D031D" w:rsidRDefault="00112F43" w:rsidP="006D031D">
            <w:pPr>
              <w:spacing w:after="0" w:line="240" w:lineRule="auto"/>
              <w:rPr>
                <w:lang w:val="en-GB"/>
              </w:rPr>
            </w:pPr>
            <w:r w:rsidRPr="006D031D">
              <w:rPr>
                <w:sz w:val="22"/>
                <w:szCs w:val="22"/>
                <w:lang w:val="en-GB"/>
              </w:rPr>
              <w:t>These two terms are used as equivalent terms (see abstract syntax definition in clause 4.2). In the document mostly the term TDL model is used, except for clause 10.2 and Annex A</w:t>
            </w:r>
          </w:p>
          <w:p w:rsidR="00112F43" w:rsidRPr="006D031D" w:rsidRDefault="00112F43" w:rsidP="006D031D">
            <w:pPr>
              <w:spacing w:after="0" w:line="240" w:lineRule="auto"/>
              <w:rPr>
                <w:lang w:val="en-GB"/>
              </w:rPr>
            </w:pPr>
            <w:r w:rsidRPr="006D031D">
              <w:rPr>
                <w:sz w:val="22"/>
                <w:szCs w:val="22"/>
                <w:lang w:val="en-GB"/>
              </w:rPr>
              <w:t>Proposal: Use the term TDL model (or similar) for an instance of a TDL meta-model and TDL specification for a concrete specification using a concrete syntax</w:t>
            </w:r>
          </w:p>
        </w:tc>
        <w:tc>
          <w:tcPr>
            <w:tcW w:w="3458" w:type="dxa"/>
          </w:tcPr>
          <w:p w:rsidR="00112F43" w:rsidRPr="006D031D" w:rsidRDefault="00112F43" w:rsidP="006D031D">
            <w:pPr>
              <w:spacing w:after="0" w:line="240" w:lineRule="auto"/>
            </w:pPr>
            <w:r w:rsidRPr="006D031D">
              <w:rPr>
                <w:sz w:val="22"/>
                <w:szCs w:val="22"/>
              </w:rPr>
              <w:t>Accepted</w:t>
            </w:r>
          </w:p>
        </w:tc>
        <w:tc>
          <w:tcPr>
            <w:tcW w:w="1190" w:type="dxa"/>
          </w:tcPr>
          <w:p w:rsidR="00112F43" w:rsidRPr="006D031D" w:rsidRDefault="00112F43" w:rsidP="006D031D">
            <w:pPr>
              <w:spacing w:after="0" w:line="240" w:lineRule="auto"/>
            </w:pPr>
            <w:r w:rsidRPr="006D031D">
              <w:rPr>
                <w:sz w:val="22"/>
                <w:szCs w:val="22"/>
              </w:rPr>
              <w:t>E///</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rPr>
                <w:lang w:val="en-GB"/>
              </w:rPr>
            </w:pPr>
            <w:bookmarkStart w:id="1" w:name="_Toc355966340"/>
            <w:r w:rsidRPr="006D031D">
              <w:rPr>
                <w:sz w:val="22"/>
                <w:szCs w:val="22"/>
                <w:lang w:val="en-GB"/>
              </w:rPr>
              <w:t>Reflexive import</w:t>
            </w:r>
            <w:bookmarkEnd w:id="1"/>
          </w:p>
          <w:p w:rsidR="00112F43" w:rsidRPr="006D031D" w:rsidRDefault="00112F43" w:rsidP="006D031D">
            <w:pPr>
              <w:spacing w:after="0" w:line="240" w:lineRule="auto"/>
              <w:rPr>
                <w:lang w:val="en-GB"/>
              </w:rPr>
            </w:pPr>
            <w:r w:rsidRPr="006D031D">
              <w:rPr>
                <w:sz w:val="22"/>
                <w:szCs w:val="22"/>
                <w:lang w:val="en-GB"/>
              </w:rPr>
              <w:t>It is not a widely used term, and is not defined in the draft. Circular import (with definition) is proposed instead</w:t>
            </w:r>
          </w:p>
        </w:tc>
        <w:tc>
          <w:tcPr>
            <w:tcW w:w="3458" w:type="dxa"/>
          </w:tcPr>
          <w:p w:rsidR="00112F43" w:rsidRPr="006D031D" w:rsidRDefault="00112F43" w:rsidP="006D031D">
            <w:pPr>
              <w:spacing w:after="0" w:line="240" w:lineRule="auto"/>
            </w:pPr>
            <w:r w:rsidRPr="006D031D">
              <w:rPr>
                <w:sz w:val="22"/>
                <w:szCs w:val="22"/>
              </w:rPr>
              <w:t>Accepted</w:t>
            </w:r>
          </w:p>
        </w:tc>
        <w:tc>
          <w:tcPr>
            <w:tcW w:w="1190" w:type="dxa"/>
          </w:tcPr>
          <w:p w:rsidR="00112F43" w:rsidRPr="006D031D" w:rsidRDefault="00112F43" w:rsidP="006D031D">
            <w:pPr>
              <w:spacing w:after="0" w:line="240" w:lineRule="auto"/>
            </w:pPr>
            <w:r w:rsidRPr="006D031D">
              <w:rPr>
                <w:sz w:val="22"/>
                <w:szCs w:val="22"/>
              </w:rPr>
              <w:t>E///</w:t>
            </w:r>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Editorial</w:t>
            </w:r>
          </w:p>
        </w:tc>
        <w:tc>
          <w:tcPr>
            <w:tcW w:w="3728" w:type="dxa"/>
          </w:tcPr>
          <w:p w:rsidR="00112F43" w:rsidRPr="006D031D" w:rsidRDefault="00112F43" w:rsidP="006D031D">
            <w:pPr>
              <w:spacing w:after="0" w:line="240" w:lineRule="auto"/>
            </w:pPr>
            <w:r w:rsidRPr="006D031D">
              <w:rPr>
                <w:sz w:val="22"/>
                <w:szCs w:val="22"/>
              </w:rPr>
              <w:t>Chapter 3.1 to be moved to an appendix</w:t>
            </w:r>
          </w:p>
        </w:tc>
        <w:tc>
          <w:tcPr>
            <w:tcW w:w="3458" w:type="dxa"/>
          </w:tcPr>
          <w:p w:rsidR="00112F43" w:rsidRPr="006D031D" w:rsidRDefault="00112F43" w:rsidP="006D031D">
            <w:pPr>
              <w:spacing w:after="0" w:line="240" w:lineRule="auto"/>
            </w:pPr>
            <w:r w:rsidRPr="006D031D">
              <w:rPr>
                <w:sz w:val="22"/>
                <w:szCs w:val="22"/>
              </w:rPr>
              <w:t>Accepted</w:t>
            </w:r>
          </w:p>
          <w:p w:rsidR="00112F43" w:rsidRPr="006D031D" w:rsidRDefault="00112F43" w:rsidP="006D031D">
            <w:pPr>
              <w:spacing w:after="0" w:line="240" w:lineRule="auto"/>
            </w:pPr>
          </w:p>
          <w:p w:rsidR="00112F43" w:rsidRPr="006D031D" w:rsidRDefault="00112F43" w:rsidP="006D031D">
            <w:pPr>
              <w:spacing w:after="0" w:line="240" w:lineRule="auto"/>
            </w:pPr>
            <w:r w:rsidRPr="006D031D">
              <w:rPr>
                <w:sz w:val="22"/>
                <w:szCs w:val="22"/>
              </w:rPr>
              <w:t>It will be moved to the appendix discussing the MM and replaced by a more suitable definition list.</w:t>
            </w:r>
          </w:p>
        </w:tc>
        <w:tc>
          <w:tcPr>
            <w:tcW w:w="1190" w:type="dxa"/>
          </w:tcPr>
          <w:p w:rsidR="00112F43" w:rsidRPr="006D031D" w:rsidRDefault="00112F43" w:rsidP="006D031D">
            <w:pPr>
              <w:spacing w:after="0" w:line="240" w:lineRule="auto"/>
            </w:pPr>
            <w:proofErr w:type="spellStart"/>
            <w:r w:rsidRPr="006D031D">
              <w:rPr>
                <w:sz w:val="22"/>
                <w:szCs w:val="22"/>
              </w:rPr>
              <w:t>Confor-miq</w:t>
            </w:r>
            <w:proofErr w:type="spellEnd"/>
          </w:p>
        </w:tc>
      </w:tr>
      <w:tr w:rsidR="00112F43" w:rsidRPr="00642898" w:rsidTr="006D031D">
        <w:trPr>
          <w:cantSplit/>
        </w:trPr>
        <w:tc>
          <w:tcPr>
            <w:tcW w:w="1200" w:type="dxa"/>
          </w:tcPr>
          <w:p w:rsidR="00112F43" w:rsidRPr="006D031D" w:rsidRDefault="00112F43" w:rsidP="006D031D">
            <w:pPr>
              <w:spacing w:after="0" w:line="240" w:lineRule="auto"/>
            </w:pPr>
            <w:r w:rsidRPr="006D031D">
              <w:rPr>
                <w:sz w:val="22"/>
                <w:szCs w:val="22"/>
              </w:rPr>
              <w:t>N.A.</w:t>
            </w:r>
          </w:p>
        </w:tc>
        <w:tc>
          <w:tcPr>
            <w:tcW w:w="3728" w:type="dxa"/>
          </w:tcPr>
          <w:p w:rsidR="00112F43" w:rsidRPr="006D031D" w:rsidRDefault="00112F43" w:rsidP="006D031D">
            <w:pPr>
              <w:spacing w:after="0" w:line="240" w:lineRule="auto"/>
              <w:rPr>
                <w:lang w:val="en-GB"/>
              </w:rPr>
            </w:pPr>
            <w:r w:rsidRPr="006D031D">
              <w:rPr>
                <w:sz w:val="22"/>
                <w:szCs w:val="22"/>
              </w:rPr>
              <w:t>In order to meet the most TDL user requirements, my preferred approach is to see 2 - 3 TDL sub-deliveries to be oriented to the different levels of the usages.</w:t>
            </w:r>
          </w:p>
        </w:tc>
        <w:tc>
          <w:tcPr>
            <w:tcW w:w="3458" w:type="dxa"/>
          </w:tcPr>
          <w:p w:rsidR="00112F43" w:rsidRPr="006D031D" w:rsidRDefault="00112F43" w:rsidP="006D031D">
            <w:pPr>
              <w:spacing w:after="0" w:line="240" w:lineRule="auto"/>
            </w:pPr>
            <w:r w:rsidRPr="006D031D">
              <w:rPr>
                <w:sz w:val="22"/>
                <w:szCs w:val="22"/>
              </w:rPr>
              <w:t>This is a concrete syntax related question, the meta-model must support all use cases</w:t>
            </w:r>
          </w:p>
        </w:tc>
        <w:tc>
          <w:tcPr>
            <w:tcW w:w="1190" w:type="dxa"/>
          </w:tcPr>
          <w:p w:rsidR="00112F43" w:rsidRPr="006D031D" w:rsidRDefault="00112F43" w:rsidP="006D031D">
            <w:pPr>
              <w:spacing w:after="0" w:line="240" w:lineRule="auto"/>
            </w:pPr>
            <w:r w:rsidRPr="006D031D">
              <w:rPr>
                <w:sz w:val="22"/>
                <w:szCs w:val="22"/>
              </w:rPr>
              <w:t>Shi Cheng</w:t>
            </w:r>
          </w:p>
        </w:tc>
      </w:tr>
    </w:tbl>
    <w:p w:rsidR="00112F43" w:rsidRDefault="00112F43"/>
    <w:p w:rsidR="00112F43" w:rsidRDefault="00112F43">
      <w:pPr>
        <w:pStyle w:val="Heading1"/>
      </w:pPr>
      <w:r>
        <w:t>Shi Cheng, e-mail 30.4.</w:t>
      </w:r>
    </w:p>
    <w:p w:rsidR="00112F43" w:rsidRDefault="00112F43" w:rsidP="00D74C51">
      <w:pPr>
        <w:pStyle w:val="Textbody"/>
      </w:pPr>
      <w:r>
        <w:t>In order to meet the most TDL user requirements, my preferred approach is to see 2 - 3 TDL sub-deliveries to be oriented to the different levels of the usages.</w:t>
      </w:r>
    </w:p>
    <w:p w:rsidR="00112F43" w:rsidRDefault="00112F43" w:rsidP="00D74C51">
      <w:pPr>
        <w:pStyle w:val="Textbody"/>
        <w:numPr>
          <w:ilvl w:val="0"/>
          <w:numId w:val="2"/>
        </w:numPr>
      </w:pPr>
      <w:r w:rsidRPr="00D74C51">
        <w:rPr>
          <w:b/>
        </w:rPr>
        <w:t>TDL minimum</w:t>
      </w:r>
      <w:r>
        <w:t xml:space="preserve">, which is a </w:t>
      </w:r>
      <w:proofErr w:type="spellStart"/>
      <w:r>
        <w:t>TPLan</w:t>
      </w:r>
      <w:proofErr w:type="spellEnd"/>
      <w:r>
        <w:t xml:space="preserve"> extension, more prose-oriented. To be completed by STF454. It can be easily and quickly introduced to 3GPP, </w:t>
      </w:r>
      <w:proofErr w:type="spellStart"/>
      <w:r>
        <w:t>Plugtest</w:t>
      </w:r>
      <w:proofErr w:type="spellEnd"/>
      <w:r>
        <w:t>, M2M and the other ETSI TCs for testing. This level is important to initially make TDL a name in the testing world.</w:t>
      </w:r>
    </w:p>
    <w:p w:rsidR="00112F43" w:rsidRDefault="00112F43" w:rsidP="00D74C51">
      <w:pPr>
        <w:pStyle w:val="Textbody"/>
        <w:numPr>
          <w:ilvl w:val="0"/>
          <w:numId w:val="2"/>
        </w:numPr>
      </w:pPr>
      <w:r w:rsidRPr="00D74C51">
        <w:rPr>
          <w:b/>
        </w:rPr>
        <w:t>TDL extended</w:t>
      </w:r>
      <w:r>
        <w:t xml:space="preserve">, including a set of well-selected features to be completed in the frame of STF454. Here the MTS guidelines are required (STF454 should NOT be overloaded). </w:t>
      </w:r>
    </w:p>
    <w:p w:rsidR="00112F43" w:rsidRDefault="00112F43" w:rsidP="00D74C51">
      <w:pPr>
        <w:pStyle w:val="Textbody"/>
        <w:numPr>
          <w:ilvl w:val="0"/>
          <w:numId w:val="2"/>
        </w:numPr>
      </w:pPr>
      <w:r w:rsidRPr="00D74C51">
        <w:rPr>
          <w:b/>
        </w:rPr>
        <w:t>TDL enhanced</w:t>
      </w:r>
      <w:r>
        <w:t xml:space="preserve"> (an optional technical level, you could also merge into the level above, it's better to split here from the view of STF management)</w:t>
      </w:r>
    </w:p>
    <w:p w:rsidR="00112F43" w:rsidRDefault="00112F43" w:rsidP="00D74C51">
      <w:pPr>
        <w:pStyle w:val="Textbody"/>
      </w:pPr>
      <w:r>
        <w:t>More features to be added-on by a follow-up STF in 2014. There will be another Stephan's task for the funding request.</w:t>
      </w:r>
    </w:p>
    <w:p w:rsidR="00112F43" w:rsidRDefault="00112F43" w:rsidP="00D74C51">
      <w:pPr>
        <w:pStyle w:val="Textbody"/>
      </w:pPr>
      <w:r>
        <w:t>Another important point is that STF454 should find a generic way for the evolved TDL transitions between the three levels.</w:t>
      </w:r>
    </w:p>
    <w:sectPr w:rsidR="00112F43" w:rsidSect="00CE7A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F9" w:rsidRDefault="00AD46F9" w:rsidP="00AD46F9">
      <w:pPr>
        <w:spacing w:after="0" w:line="240" w:lineRule="auto"/>
      </w:pPr>
      <w:r>
        <w:separator/>
      </w:r>
    </w:p>
  </w:endnote>
  <w:endnote w:type="continuationSeparator" w:id="0">
    <w:p w:rsidR="00AD46F9" w:rsidRDefault="00AD46F9" w:rsidP="00AD4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80"/>
    <w:family w:val="swiss"/>
    <w:notTrueType/>
    <w:pitch w:val="variable"/>
    <w:sig w:usb0="00000001" w:usb1="08070000" w:usb2="00000010" w:usb3="00000000" w:csb0="00020000" w:csb1="00000000"/>
  </w:font>
  <w:font w:name="Free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F9" w:rsidRDefault="00AD4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F9" w:rsidRDefault="00AD46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F9" w:rsidRDefault="00AD4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F9" w:rsidRDefault="00AD46F9" w:rsidP="00AD46F9">
      <w:pPr>
        <w:spacing w:after="0" w:line="240" w:lineRule="auto"/>
      </w:pPr>
      <w:r>
        <w:separator/>
      </w:r>
    </w:p>
  </w:footnote>
  <w:footnote w:type="continuationSeparator" w:id="0">
    <w:p w:rsidR="00AD46F9" w:rsidRDefault="00AD46F9" w:rsidP="00AD4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F9" w:rsidRDefault="00AD4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F9" w:rsidRDefault="00AD46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F9" w:rsidRDefault="00AD4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B9E"/>
    <w:multiLevelType w:val="hybridMultilevel"/>
    <w:tmpl w:val="F260D65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36634459"/>
    <w:multiLevelType w:val="hybridMultilevel"/>
    <w:tmpl w:val="5A4458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CE7A77"/>
    <w:rsid w:val="000217A2"/>
    <w:rsid w:val="000424C2"/>
    <w:rsid w:val="0005071B"/>
    <w:rsid w:val="0009376B"/>
    <w:rsid w:val="000F0506"/>
    <w:rsid w:val="000F7A4B"/>
    <w:rsid w:val="00112F43"/>
    <w:rsid w:val="00133360"/>
    <w:rsid w:val="00195A71"/>
    <w:rsid w:val="001E2BAD"/>
    <w:rsid w:val="001F5C0E"/>
    <w:rsid w:val="002926E0"/>
    <w:rsid w:val="002D5D00"/>
    <w:rsid w:val="00314051"/>
    <w:rsid w:val="00315ED8"/>
    <w:rsid w:val="00331D47"/>
    <w:rsid w:val="003463DC"/>
    <w:rsid w:val="0038164A"/>
    <w:rsid w:val="00436C41"/>
    <w:rsid w:val="00492FC8"/>
    <w:rsid w:val="004C25C9"/>
    <w:rsid w:val="004D1047"/>
    <w:rsid w:val="005172E2"/>
    <w:rsid w:val="00533E41"/>
    <w:rsid w:val="00572FD3"/>
    <w:rsid w:val="005A0335"/>
    <w:rsid w:val="005D7BFD"/>
    <w:rsid w:val="00642898"/>
    <w:rsid w:val="0064359A"/>
    <w:rsid w:val="006A7721"/>
    <w:rsid w:val="006D031D"/>
    <w:rsid w:val="00757CE4"/>
    <w:rsid w:val="00770771"/>
    <w:rsid w:val="007C0C55"/>
    <w:rsid w:val="007F6981"/>
    <w:rsid w:val="008274E7"/>
    <w:rsid w:val="0086444A"/>
    <w:rsid w:val="00877AF5"/>
    <w:rsid w:val="008D69D9"/>
    <w:rsid w:val="00901D54"/>
    <w:rsid w:val="00922F20"/>
    <w:rsid w:val="009313FB"/>
    <w:rsid w:val="00950C89"/>
    <w:rsid w:val="009B37A2"/>
    <w:rsid w:val="009B7915"/>
    <w:rsid w:val="009C7F88"/>
    <w:rsid w:val="00A71B76"/>
    <w:rsid w:val="00AD46F9"/>
    <w:rsid w:val="00AE76B3"/>
    <w:rsid w:val="00B16179"/>
    <w:rsid w:val="00B75D2A"/>
    <w:rsid w:val="00BA5A02"/>
    <w:rsid w:val="00BC0D38"/>
    <w:rsid w:val="00BC568C"/>
    <w:rsid w:val="00C34D57"/>
    <w:rsid w:val="00CB0BE4"/>
    <w:rsid w:val="00CE7A77"/>
    <w:rsid w:val="00D3538E"/>
    <w:rsid w:val="00D55A3B"/>
    <w:rsid w:val="00D74C51"/>
    <w:rsid w:val="00DB2374"/>
    <w:rsid w:val="00DF03AA"/>
    <w:rsid w:val="00E07517"/>
    <w:rsid w:val="00E11EE7"/>
    <w:rsid w:val="00E14807"/>
    <w:rsid w:val="00E9463C"/>
    <w:rsid w:val="00EC1CAF"/>
    <w:rsid w:val="00EE7B85"/>
    <w:rsid w:val="00EF6A31"/>
    <w:rsid w:val="00F56EAB"/>
    <w:rsid w:val="00F841F2"/>
    <w:rsid w:val="00F90C58"/>
    <w:rsid w:val="00F91579"/>
    <w:rsid w:val="00F96BD1"/>
    <w:rsid w:val="00FC50BE"/>
    <w:rsid w:val="00FC5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77"/>
    <w:pPr>
      <w:tabs>
        <w:tab w:val="left" w:pos="720"/>
      </w:tabs>
      <w:suppressAutoHyphens/>
      <w:spacing w:after="200" w:line="276" w:lineRule="auto"/>
    </w:pPr>
    <w:rPr>
      <w:rFonts w:ascii="Times New Roman" w:eastAsia="Droid Sans Fallback" w:hAnsi="Times New Roman" w:cs="FreeSans"/>
      <w:sz w:val="24"/>
      <w:szCs w:val="24"/>
      <w:lang w:eastAsia="zh-CN" w:bidi="hi-IN"/>
    </w:rPr>
  </w:style>
  <w:style w:type="paragraph" w:styleId="Heading1">
    <w:name w:val="heading 1"/>
    <w:basedOn w:val="Normal"/>
    <w:next w:val="Textbody"/>
    <w:link w:val="Heading1Char"/>
    <w:uiPriority w:val="99"/>
    <w:qFormat/>
    <w:rsid w:val="00CE7A7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92FC8"/>
    <w:pPr>
      <w:keepNext/>
      <w:keepLines/>
      <w:spacing w:before="200" w:after="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A7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92FC8"/>
    <w:rPr>
      <w:rFonts w:ascii="Cambria" w:hAnsi="Cambria" w:cs="Mangal"/>
      <w:b/>
      <w:bCs/>
      <w:color w:val="4F81BD"/>
      <w:sz w:val="23"/>
      <w:szCs w:val="23"/>
      <w:lang w:val="en-US" w:eastAsia="zh-CN" w:bidi="hi-IN"/>
    </w:rPr>
  </w:style>
  <w:style w:type="character" w:customStyle="1" w:styleId="TitleChar">
    <w:name w:val="Title Char"/>
    <w:basedOn w:val="DefaultParagraphFont"/>
    <w:uiPriority w:val="99"/>
    <w:rsid w:val="00CE7A77"/>
    <w:rPr>
      <w:rFonts w:ascii="Cambria" w:hAnsi="Cambria" w:cs="Times New Roman"/>
      <w:color w:val="17365D"/>
      <w:spacing w:val="5"/>
      <w:sz w:val="52"/>
      <w:szCs w:val="52"/>
    </w:rPr>
  </w:style>
  <w:style w:type="character" w:customStyle="1" w:styleId="DocumentMapChar">
    <w:name w:val="Document Map Char"/>
    <w:basedOn w:val="DefaultParagraphFont"/>
    <w:uiPriority w:val="99"/>
    <w:rsid w:val="00CE7A77"/>
    <w:rPr>
      <w:rFonts w:ascii="Tahoma" w:hAnsi="Tahoma" w:cs="Tahoma"/>
      <w:sz w:val="16"/>
      <w:szCs w:val="16"/>
    </w:rPr>
  </w:style>
  <w:style w:type="paragraph" w:customStyle="1" w:styleId="Heading">
    <w:name w:val="Heading"/>
    <w:basedOn w:val="Normal"/>
    <w:next w:val="Textbody"/>
    <w:uiPriority w:val="99"/>
    <w:rsid w:val="00CE7A77"/>
    <w:pPr>
      <w:keepNext/>
      <w:spacing w:before="240" w:after="120"/>
    </w:pPr>
    <w:rPr>
      <w:rFonts w:ascii="Arial" w:hAnsi="Arial"/>
      <w:sz w:val="28"/>
      <w:szCs w:val="28"/>
    </w:rPr>
  </w:style>
  <w:style w:type="paragraph" w:customStyle="1" w:styleId="Textbody">
    <w:name w:val="Text body"/>
    <w:basedOn w:val="Normal"/>
    <w:uiPriority w:val="99"/>
    <w:rsid w:val="00CE7A77"/>
    <w:pPr>
      <w:spacing w:after="120"/>
    </w:pPr>
  </w:style>
  <w:style w:type="paragraph" w:styleId="List">
    <w:name w:val="List"/>
    <w:basedOn w:val="Textbody"/>
    <w:uiPriority w:val="99"/>
    <w:rsid w:val="00CE7A77"/>
  </w:style>
  <w:style w:type="paragraph" w:styleId="Caption">
    <w:name w:val="caption"/>
    <w:basedOn w:val="Normal"/>
    <w:uiPriority w:val="99"/>
    <w:qFormat/>
    <w:rsid w:val="00CE7A77"/>
    <w:pPr>
      <w:suppressLineNumbers/>
      <w:spacing w:before="120" w:after="120"/>
    </w:pPr>
    <w:rPr>
      <w:i/>
      <w:iCs/>
    </w:rPr>
  </w:style>
  <w:style w:type="paragraph" w:customStyle="1" w:styleId="Index">
    <w:name w:val="Index"/>
    <w:basedOn w:val="Normal"/>
    <w:uiPriority w:val="99"/>
    <w:rsid w:val="00CE7A77"/>
    <w:pPr>
      <w:suppressLineNumbers/>
    </w:pPr>
  </w:style>
  <w:style w:type="paragraph" w:styleId="Title">
    <w:name w:val="Title"/>
    <w:basedOn w:val="Normal"/>
    <w:next w:val="Subtitle"/>
    <w:link w:val="TitleChar1"/>
    <w:uiPriority w:val="99"/>
    <w:qFormat/>
    <w:rsid w:val="00CE7A77"/>
    <w:pPr>
      <w:pBdr>
        <w:bottom w:val="single" w:sz="8" w:space="0" w:color="4F81BD"/>
      </w:pBdr>
      <w:spacing w:after="300" w:line="100" w:lineRule="atLeast"/>
      <w:jc w:val="center"/>
    </w:pPr>
    <w:rPr>
      <w:rFonts w:ascii="Cambria" w:hAnsi="Cambria"/>
      <w:b/>
      <w:bCs/>
      <w:color w:val="17365D"/>
      <w:spacing w:val="5"/>
      <w:sz w:val="52"/>
      <w:szCs w:val="52"/>
    </w:rPr>
  </w:style>
  <w:style w:type="character" w:customStyle="1" w:styleId="TitleChar1">
    <w:name w:val="Title Char1"/>
    <w:basedOn w:val="DefaultParagraphFont"/>
    <w:link w:val="Title"/>
    <w:uiPriority w:val="99"/>
    <w:locked/>
    <w:rsid w:val="00E14807"/>
    <w:rPr>
      <w:rFonts w:ascii="Cambria" w:hAnsi="Cambria" w:cs="Mangal"/>
      <w:b/>
      <w:bCs/>
      <w:kern w:val="28"/>
      <w:sz w:val="29"/>
      <w:szCs w:val="29"/>
      <w:lang w:eastAsia="zh-CN" w:bidi="hi-IN"/>
    </w:rPr>
  </w:style>
  <w:style w:type="paragraph" w:styleId="Subtitle">
    <w:name w:val="Subtitle"/>
    <w:basedOn w:val="Heading"/>
    <w:next w:val="Textbody"/>
    <w:link w:val="SubtitleChar"/>
    <w:uiPriority w:val="99"/>
    <w:qFormat/>
    <w:rsid w:val="00CE7A77"/>
    <w:pPr>
      <w:jc w:val="center"/>
    </w:pPr>
    <w:rPr>
      <w:i/>
      <w:iCs/>
    </w:rPr>
  </w:style>
  <w:style w:type="character" w:customStyle="1" w:styleId="SubtitleChar">
    <w:name w:val="Subtitle Char"/>
    <w:basedOn w:val="DefaultParagraphFont"/>
    <w:link w:val="Subtitle"/>
    <w:uiPriority w:val="99"/>
    <w:locked/>
    <w:rsid w:val="00E14807"/>
    <w:rPr>
      <w:rFonts w:ascii="Cambria" w:hAnsi="Cambria" w:cs="Mangal"/>
      <w:sz w:val="21"/>
      <w:szCs w:val="21"/>
      <w:lang w:eastAsia="zh-CN" w:bidi="hi-IN"/>
    </w:rPr>
  </w:style>
  <w:style w:type="paragraph" w:styleId="DocumentMap">
    <w:name w:val="Document Map"/>
    <w:basedOn w:val="Normal"/>
    <w:link w:val="DocumentMapChar1"/>
    <w:uiPriority w:val="99"/>
    <w:rsid w:val="00CE7A77"/>
    <w:pPr>
      <w:spacing w:after="0" w:line="100" w:lineRule="atLeast"/>
    </w:pPr>
    <w:rPr>
      <w:rFonts w:ascii="Tahoma" w:hAnsi="Tahoma" w:cs="Tahoma"/>
      <w:sz w:val="16"/>
      <w:szCs w:val="16"/>
    </w:rPr>
  </w:style>
  <w:style w:type="character" w:customStyle="1" w:styleId="DocumentMapChar1">
    <w:name w:val="Document Map Char1"/>
    <w:basedOn w:val="DefaultParagraphFont"/>
    <w:link w:val="DocumentMap"/>
    <w:uiPriority w:val="99"/>
    <w:semiHidden/>
    <w:locked/>
    <w:rsid w:val="00E14807"/>
    <w:rPr>
      <w:rFonts w:ascii="Times New Roman" w:eastAsia="Droid Sans Fallback" w:hAnsi="Times New Roman" w:cs="Mangal"/>
      <w:sz w:val="2"/>
      <w:lang w:eastAsia="zh-CN" w:bidi="hi-IN"/>
    </w:rPr>
  </w:style>
  <w:style w:type="table" w:styleId="LightShading-Accent3">
    <w:name w:val="Light Shading Accent 3"/>
    <w:basedOn w:val="TableNormal"/>
    <w:uiPriority w:val="99"/>
    <w:rsid w:val="00D74C51"/>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ableGrid">
    <w:name w:val="Table Grid"/>
    <w:basedOn w:val="TableNormal"/>
    <w:uiPriority w:val="99"/>
    <w:rsid w:val="000424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26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2926E0"/>
    <w:rPr>
      <w:rFonts w:ascii="Tahoma" w:eastAsia="Droid Sans Fallback" w:hAnsi="Tahoma" w:cs="Mangal"/>
      <w:sz w:val="14"/>
      <w:szCs w:val="14"/>
      <w:lang w:val="en-US" w:eastAsia="zh-CN" w:bidi="hi-IN"/>
    </w:rPr>
  </w:style>
  <w:style w:type="character" w:styleId="CommentReference">
    <w:name w:val="annotation reference"/>
    <w:basedOn w:val="DefaultParagraphFont"/>
    <w:uiPriority w:val="99"/>
    <w:semiHidden/>
    <w:rsid w:val="009B37A2"/>
    <w:rPr>
      <w:rFonts w:cs="Times New Roman"/>
      <w:sz w:val="16"/>
      <w:szCs w:val="16"/>
    </w:rPr>
  </w:style>
  <w:style w:type="paragraph" w:styleId="CommentText">
    <w:name w:val="annotation text"/>
    <w:basedOn w:val="Normal"/>
    <w:link w:val="CommentTextChar"/>
    <w:uiPriority w:val="99"/>
    <w:semiHidden/>
    <w:rsid w:val="009B37A2"/>
    <w:pPr>
      <w:spacing w:line="240" w:lineRule="auto"/>
    </w:pPr>
    <w:rPr>
      <w:rFonts w:cs="Mangal"/>
      <w:sz w:val="20"/>
      <w:szCs w:val="18"/>
    </w:rPr>
  </w:style>
  <w:style w:type="character" w:customStyle="1" w:styleId="CommentTextChar">
    <w:name w:val="Comment Text Char"/>
    <w:basedOn w:val="DefaultParagraphFont"/>
    <w:link w:val="CommentText"/>
    <w:uiPriority w:val="99"/>
    <w:semiHidden/>
    <w:locked/>
    <w:rsid w:val="009B37A2"/>
    <w:rPr>
      <w:rFonts w:ascii="Times New Roman" w:eastAsia="Droid Sans Fallback" w:hAnsi="Times New Roman" w:cs="Mangal"/>
      <w:sz w:val="18"/>
      <w:szCs w:val="18"/>
      <w:lang w:val="en-US" w:eastAsia="zh-CN" w:bidi="hi-IN"/>
    </w:rPr>
  </w:style>
  <w:style w:type="paragraph" w:styleId="CommentSubject">
    <w:name w:val="annotation subject"/>
    <w:basedOn w:val="CommentText"/>
    <w:next w:val="CommentText"/>
    <w:link w:val="CommentSubjectChar"/>
    <w:uiPriority w:val="99"/>
    <w:semiHidden/>
    <w:rsid w:val="009B37A2"/>
    <w:rPr>
      <w:b/>
      <w:bCs/>
    </w:rPr>
  </w:style>
  <w:style w:type="character" w:customStyle="1" w:styleId="CommentSubjectChar">
    <w:name w:val="Comment Subject Char"/>
    <w:basedOn w:val="CommentTextChar"/>
    <w:link w:val="CommentSubject"/>
    <w:uiPriority w:val="99"/>
    <w:semiHidden/>
    <w:locked/>
    <w:rsid w:val="009B37A2"/>
    <w:rPr>
      <w:rFonts w:ascii="Times New Roman" w:eastAsia="Droid Sans Fallback" w:hAnsi="Times New Roman" w:cs="Mangal"/>
      <w:b/>
      <w:bCs/>
      <w:sz w:val="18"/>
      <w:szCs w:val="18"/>
      <w:lang w:val="en-US" w:eastAsia="zh-CN" w:bidi="hi-IN"/>
    </w:rPr>
  </w:style>
  <w:style w:type="paragraph" w:styleId="Header">
    <w:name w:val="header"/>
    <w:basedOn w:val="Normal"/>
    <w:link w:val="HeaderChar"/>
    <w:uiPriority w:val="99"/>
    <w:semiHidden/>
    <w:unhideWhenUsed/>
    <w:rsid w:val="00AD46F9"/>
    <w:pPr>
      <w:tabs>
        <w:tab w:val="clear" w:pos="720"/>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semiHidden/>
    <w:rsid w:val="00AD46F9"/>
    <w:rPr>
      <w:rFonts w:ascii="Times New Roman" w:eastAsia="Droid Sans Fallback" w:hAnsi="Times New Roman" w:cs="Mangal"/>
      <w:sz w:val="24"/>
      <w:szCs w:val="21"/>
      <w:lang w:eastAsia="zh-CN" w:bidi="hi-IN"/>
    </w:rPr>
  </w:style>
  <w:style w:type="paragraph" w:styleId="Footer">
    <w:name w:val="footer"/>
    <w:basedOn w:val="Normal"/>
    <w:link w:val="FooterChar"/>
    <w:uiPriority w:val="99"/>
    <w:semiHidden/>
    <w:unhideWhenUsed/>
    <w:rsid w:val="00AD46F9"/>
    <w:pPr>
      <w:tabs>
        <w:tab w:val="clear" w:pos="720"/>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semiHidden/>
    <w:rsid w:val="00AD46F9"/>
    <w:rPr>
      <w:rFonts w:ascii="Times New Roman" w:eastAsia="Droid Sans Fallback"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77"/>
    <w:pPr>
      <w:tabs>
        <w:tab w:val="left" w:pos="720"/>
      </w:tabs>
      <w:suppressAutoHyphens/>
      <w:spacing w:after="200" w:line="276" w:lineRule="auto"/>
    </w:pPr>
    <w:rPr>
      <w:rFonts w:ascii="Times New Roman" w:eastAsia="Droid Sans Fallback" w:hAnsi="Times New Roman" w:cs="FreeSans"/>
      <w:sz w:val="24"/>
      <w:szCs w:val="24"/>
      <w:lang w:eastAsia="zh-CN" w:bidi="hi-IN"/>
    </w:rPr>
  </w:style>
  <w:style w:type="paragraph" w:styleId="Heading1">
    <w:name w:val="heading 1"/>
    <w:basedOn w:val="Normal"/>
    <w:next w:val="Textbody"/>
    <w:link w:val="Heading1Char"/>
    <w:uiPriority w:val="99"/>
    <w:qFormat/>
    <w:rsid w:val="00CE7A7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92FC8"/>
    <w:pPr>
      <w:keepNext/>
      <w:keepLines/>
      <w:spacing w:before="200" w:after="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A7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92FC8"/>
    <w:rPr>
      <w:rFonts w:ascii="Cambria" w:hAnsi="Cambria" w:cs="Mangal"/>
      <w:b/>
      <w:bCs/>
      <w:color w:val="4F81BD"/>
      <w:sz w:val="23"/>
      <w:szCs w:val="23"/>
      <w:lang w:val="en-US" w:eastAsia="zh-CN" w:bidi="hi-IN"/>
    </w:rPr>
  </w:style>
  <w:style w:type="character" w:customStyle="1" w:styleId="TitleChar">
    <w:name w:val="Title Char"/>
    <w:basedOn w:val="DefaultParagraphFont"/>
    <w:uiPriority w:val="99"/>
    <w:rsid w:val="00CE7A77"/>
    <w:rPr>
      <w:rFonts w:ascii="Cambria" w:hAnsi="Cambria" w:cs="Times New Roman"/>
      <w:color w:val="17365D"/>
      <w:spacing w:val="5"/>
      <w:sz w:val="52"/>
      <w:szCs w:val="52"/>
    </w:rPr>
  </w:style>
  <w:style w:type="character" w:customStyle="1" w:styleId="DocumentMapChar">
    <w:name w:val="Document Map Char"/>
    <w:basedOn w:val="DefaultParagraphFont"/>
    <w:uiPriority w:val="99"/>
    <w:rsid w:val="00CE7A77"/>
    <w:rPr>
      <w:rFonts w:ascii="Tahoma" w:hAnsi="Tahoma" w:cs="Tahoma"/>
      <w:sz w:val="16"/>
      <w:szCs w:val="16"/>
    </w:rPr>
  </w:style>
  <w:style w:type="paragraph" w:customStyle="1" w:styleId="Heading">
    <w:name w:val="Heading"/>
    <w:basedOn w:val="Normal"/>
    <w:next w:val="Textbody"/>
    <w:uiPriority w:val="99"/>
    <w:rsid w:val="00CE7A77"/>
    <w:pPr>
      <w:keepNext/>
      <w:spacing w:before="240" w:after="120"/>
    </w:pPr>
    <w:rPr>
      <w:rFonts w:ascii="Arial" w:hAnsi="Arial"/>
      <w:sz w:val="28"/>
      <w:szCs w:val="28"/>
    </w:rPr>
  </w:style>
  <w:style w:type="paragraph" w:customStyle="1" w:styleId="Textbody">
    <w:name w:val="Text body"/>
    <w:basedOn w:val="Normal"/>
    <w:uiPriority w:val="99"/>
    <w:rsid w:val="00CE7A77"/>
    <w:pPr>
      <w:spacing w:after="120"/>
    </w:pPr>
  </w:style>
  <w:style w:type="paragraph" w:styleId="List">
    <w:name w:val="List"/>
    <w:basedOn w:val="Textbody"/>
    <w:uiPriority w:val="99"/>
    <w:rsid w:val="00CE7A77"/>
  </w:style>
  <w:style w:type="paragraph" w:styleId="Caption">
    <w:name w:val="caption"/>
    <w:basedOn w:val="Normal"/>
    <w:uiPriority w:val="99"/>
    <w:qFormat/>
    <w:rsid w:val="00CE7A77"/>
    <w:pPr>
      <w:suppressLineNumbers/>
      <w:spacing w:before="120" w:after="120"/>
    </w:pPr>
    <w:rPr>
      <w:i/>
      <w:iCs/>
    </w:rPr>
  </w:style>
  <w:style w:type="paragraph" w:customStyle="1" w:styleId="Index">
    <w:name w:val="Index"/>
    <w:basedOn w:val="Normal"/>
    <w:uiPriority w:val="99"/>
    <w:rsid w:val="00CE7A77"/>
    <w:pPr>
      <w:suppressLineNumbers/>
    </w:pPr>
  </w:style>
  <w:style w:type="paragraph" w:styleId="Title">
    <w:name w:val="Title"/>
    <w:basedOn w:val="Normal"/>
    <w:next w:val="Subtitle"/>
    <w:link w:val="TitleChar1"/>
    <w:uiPriority w:val="99"/>
    <w:qFormat/>
    <w:rsid w:val="00CE7A77"/>
    <w:pPr>
      <w:pBdr>
        <w:bottom w:val="single" w:sz="8" w:space="0" w:color="4F81BD"/>
      </w:pBdr>
      <w:spacing w:after="300" w:line="100" w:lineRule="atLeast"/>
      <w:jc w:val="center"/>
    </w:pPr>
    <w:rPr>
      <w:rFonts w:ascii="Cambria" w:hAnsi="Cambria"/>
      <w:b/>
      <w:bCs/>
      <w:color w:val="17365D"/>
      <w:spacing w:val="5"/>
      <w:sz w:val="52"/>
      <w:szCs w:val="52"/>
    </w:rPr>
  </w:style>
  <w:style w:type="character" w:customStyle="1" w:styleId="TitleChar1">
    <w:name w:val="Title Char1"/>
    <w:basedOn w:val="DefaultParagraphFont"/>
    <w:link w:val="Title"/>
    <w:uiPriority w:val="99"/>
    <w:locked/>
    <w:rPr>
      <w:rFonts w:ascii="Cambria" w:hAnsi="Cambria" w:cs="Mangal"/>
      <w:b/>
      <w:bCs/>
      <w:kern w:val="28"/>
      <w:sz w:val="29"/>
      <w:szCs w:val="29"/>
      <w:lang w:eastAsia="zh-CN" w:bidi="hi-IN"/>
    </w:rPr>
  </w:style>
  <w:style w:type="paragraph" w:styleId="Subtitle">
    <w:name w:val="Subtitle"/>
    <w:basedOn w:val="Heading"/>
    <w:next w:val="Textbody"/>
    <w:link w:val="SubtitleChar"/>
    <w:uiPriority w:val="99"/>
    <w:qFormat/>
    <w:rsid w:val="00CE7A77"/>
    <w:pPr>
      <w:jc w:val="center"/>
    </w:pPr>
    <w:rPr>
      <w:i/>
      <w:iCs/>
    </w:rPr>
  </w:style>
  <w:style w:type="character" w:customStyle="1" w:styleId="SubtitleChar">
    <w:name w:val="Subtitle Char"/>
    <w:basedOn w:val="DefaultParagraphFont"/>
    <w:link w:val="Subtitle"/>
    <w:uiPriority w:val="99"/>
    <w:locked/>
    <w:rPr>
      <w:rFonts w:ascii="Cambria" w:hAnsi="Cambria" w:cs="Mangal"/>
      <w:sz w:val="21"/>
      <w:szCs w:val="21"/>
      <w:lang w:eastAsia="zh-CN" w:bidi="hi-IN"/>
    </w:rPr>
  </w:style>
  <w:style w:type="paragraph" w:styleId="DocumentMap">
    <w:name w:val="Document Map"/>
    <w:basedOn w:val="Normal"/>
    <w:link w:val="DocumentMapChar1"/>
    <w:uiPriority w:val="99"/>
    <w:rsid w:val="00CE7A77"/>
    <w:pPr>
      <w:spacing w:after="0" w:line="100" w:lineRule="atLeast"/>
    </w:pPr>
    <w:rPr>
      <w:rFonts w:ascii="Tahoma" w:hAnsi="Tahoma" w:cs="Tahoma"/>
      <w:sz w:val="16"/>
      <w:szCs w:val="16"/>
    </w:rPr>
  </w:style>
  <w:style w:type="character" w:customStyle="1" w:styleId="DocumentMapChar1">
    <w:name w:val="Document Map Char1"/>
    <w:basedOn w:val="DefaultParagraphFont"/>
    <w:link w:val="DocumentMap"/>
    <w:uiPriority w:val="99"/>
    <w:semiHidden/>
    <w:locked/>
    <w:rPr>
      <w:rFonts w:ascii="Times New Roman" w:eastAsia="Droid Sans Fallback" w:hAnsi="Times New Roman" w:cs="Mangal"/>
      <w:sz w:val="2"/>
      <w:lang w:eastAsia="zh-CN" w:bidi="hi-IN"/>
    </w:rPr>
  </w:style>
  <w:style w:type="table" w:styleId="LightShading-Accent3">
    <w:name w:val="Light Shading Accent 3"/>
    <w:basedOn w:val="TableNormal"/>
    <w:uiPriority w:val="99"/>
    <w:rsid w:val="00D74C51"/>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ableGrid">
    <w:name w:val="Table Grid"/>
    <w:basedOn w:val="TableNormal"/>
    <w:uiPriority w:val="99"/>
    <w:rsid w:val="000424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26E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2926E0"/>
    <w:rPr>
      <w:rFonts w:ascii="Tahoma" w:eastAsia="Droid Sans Fallback" w:hAnsi="Tahoma" w:cs="Mangal"/>
      <w:sz w:val="14"/>
      <w:szCs w:val="14"/>
      <w:lang w:val="en-US" w:eastAsia="zh-CN" w:bidi="hi-IN"/>
    </w:rPr>
  </w:style>
  <w:style w:type="character" w:styleId="CommentReference">
    <w:name w:val="annotation reference"/>
    <w:basedOn w:val="DefaultParagraphFont"/>
    <w:uiPriority w:val="99"/>
    <w:semiHidden/>
    <w:rsid w:val="009B37A2"/>
    <w:rPr>
      <w:rFonts w:cs="Times New Roman"/>
      <w:sz w:val="16"/>
      <w:szCs w:val="16"/>
    </w:rPr>
  </w:style>
  <w:style w:type="paragraph" w:styleId="CommentText">
    <w:name w:val="annotation text"/>
    <w:basedOn w:val="Normal"/>
    <w:link w:val="CommentTextChar"/>
    <w:uiPriority w:val="99"/>
    <w:semiHidden/>
    <w:rsid w:val="009B37A2"/>
    <w:pPr>
      <w:spacing w:line="240" w:lineRule="auto"/>
    </w:pPr>
    <w:rPr>
      <w:rFonts w:cs="Mangal"/>
      <w:sz w:val="20"/>
      <w:szCs w:val="18"/>
    </w:rPr>
  </w:style>
  <w:style w:type="character" w:customStyle="1" w:styleId="CommentTextChar">
    <w:name w:val="Comment Text Char"/>
    <w:basedOn w:val="DefaultParagraphFont"/>
    <w:link w:val="CommentText"/>
    <w:uiPriority w:val="99"/>
    <w:semiHidden/>
    <w:locked/>
    <w:rsid w:val="009B37A2"/>
    <w:rPr>
      <w:rFonts w:ascii="Times New Roman" w:eastAsia="Droid Sans Fallback" w:hAnsi="Times New Roman" w:cs="Mangal"/>
      <w:sz w:val="18"/>
      <w:szCs w:val="18"/>
      <w:lang w:val="en-US" w:eastAsia="zh-CN" w:bidi="hi-IN"/>
    </w:rPr>
  </w:style>
  <w:style w:type="paragraph" w:styleId="CommentSubject">
    <w:name w:val="annotation subject"/>
    <w:basedOn w:val="CommentText"/>
    <w:next w:val="CommentText"/>
    <w:link w:val="CommentSubjectChar"/>
    <w:uiPriority w:val="99"/>
    <w:semiHidden/>
    <w:rsid w:val="009B37A2"/>
    <w:rPr>
      <w:b/>
      <w:bCs/>
    </w:rPr>
  </w:style>
  <w:style w:type="character" w:customStyle="1" w:styleId="CommentSubjectChar">
    <w:name w:val="Comment Subject Char"/>
    <w:basedOn w:val="CommentTextChar"/>
    <w:link w:val="CommentSubject"/>
    <w:uiPriority w:val="99"/>
    <w:semiHidden/>
    <w:locked/>
    <w:rsid w:val="009B37A2"/>
    <w:rPr>
      <w:rFonts w:ascii="Times New Roman" w:eastAsia="Droid Sans Fallback" w:hAnsi="Times New Roman" w:cs="Mangal"/>
      <w:b/>
      <w:bCs/>
      <w:sz w:val="18"/>
      <w:szCs w:val="18"/>
      <w:lang w:val="en-US" w:eastAsia="zh-CN" w:bidi="hi-IN"/>
    </w:rPr>
  </w:style>
</w:styles>
</file>

<file path=word/webSettings.xml><?xml version="1.0" encoding="utf-8"?>
<w:webSettings xmlns:r="http://schemas.openxmlformats.org/officeDocument/2006/relationships" xmlns:w="http://schemas.openxmlformats.org/wordprocessingml/2006/main">
  <w:divs>
    <w:div w:id="280192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7189</Characters>
  <Application>Microsoft Office Word</Application>
  <DocSecurity>0</DocSecurity>
  <Lines>59</Lines>
  <Paragraphs>17</Paragraphs>
  <ScaleCrop>false</ScaleCrop>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2013-05-31T11:45:00Z</dcterms:created>
  <dcterms:modified xsi:type="dcterms:W3CDTF">2013-05-31T11:46:00Z</dcterms:modified>
</cp:coreProperties>
</file>