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72782" w:rsidP="00C74523">
            <w:pPr>
              <w:rPr>
                <w:rFonts w:ascii="Arial" w:hAnsi="Arial" w:cs="Arial"/>
                <w:color w:val="0000FF"/>
                <w:sz w:val="24"/>
                <w:szCs w:val="24"/>
              </w:rPr>
            </w:pPr>
            <w:r w:rsidRPr="00572782">
              <w:rPr>
                <w:rFonts w:ascii="Arial" w:hAnsi="Arial" w:cs="Arial"/>
                <w:color w:val="0000FF"/>
                <w:sz w:val="24"/>
                <w:szCs w:val="24"/>
              </w:rPr>
              <w:t>New STF setup process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9C7208" w:rsidP="00196D5B">
            <w:pPr>
              <w:rPr>
                <w:rFonts w:ascii="Arial" w:hAnsi="Arial" w:cs="Arial"/>
                <w:sz w:val="24"/>
              </w:rPr>
            </w:pPr>
            <w:r>
              <w:rPr>
                <w:rFonts w:ascii="Arial" w:hAnsi="Arial" w:cs="Arial"/>
                <w:sz w:val="24"/>
              </w:rPr>
              <w:t>ETSI Director-General</w:t>
            </w:r>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9C7208" w:rsidP="00E85773">
            <w:pPr>
              <w:rPr>
                <w:rFonts w:ascii="Arial" w:hAnsi="Arial" w:cs="Arial"/>
                <w:sz w:val="24"/>
                <w:szCs w:val="24"/>
              </w:rPr>
            </w:pPr>
            <w:r>
              <w:rPr>
                <w:rFonts w:ascii="Arial" w:hAnsi="Arial" w:cs="Arial"/>
                <w:sz w:val="24"/>
                <w:szCs w:val="24"/>
              </w:rPr>
              <w:t>Alberto Berrini</w:t>
            </w:r>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0" w:name="to"/>
            <w:r w:rsidRPr="0091037B">
              <w:rPr>
                <w:rFonts w:ascii="Arial" w:hAnsi="Arial" w:cs="Arial"/>
                <w:sz w:val="24"/>
              </w:rPr>
              <w:t>OCG</w:t>
            </w:r>
            <w:bookmarkEnd w:id="0"/>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572782" w:rsidP="00196D5B">
            <w:pPr>
              <w:tabs>
                <w:tab w:val="left" w:pos="1701"/>
              </w:tabs>
              <w:jc w:val="center"/>
              <w:rPr>
                <w:rFonts w:ascii="Arial" w:hAnsi="Arial" w:cs="Arial"/>
                <w:b/>
              </w:rPr>
            </w:pPr>
            <w:bookmarkStart w:id="1" w:name="forDecision"/>
            <w:bookmarkEnd w:id="1"/>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2" w:name="forInformation"/>
            <w:bookmarkEnd w:id="2"/>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9C7208" w:rsidP="00D9435B">
            <w:pPr>
              <w:ind w:left="93"/>
              <w:rPr>
                <w:rFonts w:ascii="Arial" w:hAnsi="Arial" w:cs="Arial"/>
                <w:sz w:val="24"/>
              </w:rPr>
            </w:pPr>
            <w:r>
              <w:rPr>
                <w:rFonts w:ascii="Arial" w:hAnsi="Arial" w:cs="Arial"/>
                <w:sz w:val="24"/>
              </w:rPr>
              <w:t>12 September 2014</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3D6933">
            <w:pPr>
              <w:rPr>
                <w:rFonts w:ascii="Arial" w:hAnsi="Arial" w:cs="Arial"/>
              </w:rPr>
            </w:pPr>
            <w:bookmarkStart w:id="3" w:name="MeetingReference"/>
            <w:r w:rsidRPr="00422891">
              <w:rPr>
                <w:rFonts w:ascii="Arial" w:hAnsi="Arial" w:cs="Arial"/>
                <w:b/>
                <w:sz w:val="22"/>
                <w:szCs w:val="24"/>
              </w:rPr>
              <w:t>OCG#</w:t>
            </w:r>
            <w:r w:rsidR="006050AB">
              <w:rPr>
                <w:rFonts w:ascii="Arial" w:hAnsi="Arial" w:cs="Arial"/>
                <w:b/>
                <w:sz w:val="22"/>
                <w:szCs w:val="24"/>
              </w:rPr>
              <w:t>5</w:t>
            </w:r>
            <w:r w:rsidR="000520B3">
              <w:rPr>
                <w:rFonts w:ascii="Arial" w:hAnsi="Arial" w:cs="Arial"/>
                <w:b/>
                <w:sz w:val="22"/>
                <w:szCs w:val="24"/>
              </w:rPr>
              <w:t>4</w:t>
            </w:r>
            <w:r w:rsidRPr="00422891">
              <w:rPr>
                <w:rFonts w:ascii="Arial" w:hAnsi="Arial" w:cs="Arial"/>
                <w:sz w:val="18"/>
              </w:rPr>
              <w:t xml:space="preserve"> </w:t>
            </w:r>
            <w:bookmarkEnd w:id="3"/>
            <w:r w:rsidR="00F11466">
              <w:rPr>
                <w:rFonts w:ascii="Arial" w:hAnsi="Arial" w:cs="Arial"/>
              </w:rPr>
              <w:t xml:space="preserve">- </w:t>
            </w:r>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4" w:name="RelevantWorkItems"/>
            <w:bookmarkEnd w:id="4"/>
            <w:r w:rsidR="00572782">
              <w:rPr>
                <w:rFonts w:ascii="Arial" w:hAnsi="Arial" w:cs="Arial"/>
              </w:rPr>
              <w:t>10</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7833A7" w:rsidRDefault="007833A7" w:rsidP="00DB251F"/>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5" w:name="Abstract"/>
      <w:bookmarkEnd w:id="5"/>
      <w:r w:rsidR="00572782" w:rsidRPr="00572782">
        <w:rPr>
          <w:rFonts w:asciiTheme="minorHAnsi" w:hAnsiTheme="minorHAnsi" w:cstheme="minorHAnsi"/>
          <w:i/>
          <w:sz w:val="24"/>
        </w:rPr>
        <w:t xml:space="preserve">The </w:t>
      </w:r>
      <w:r w:rsidR="00572782">
        <w:rPr>
          <w:rFonts w:asciiTheme="minorHAnsi" w:hAnsiTheme="minorHAnsi" w:cstheme="minorHAnsi"/>
          <w:i/>
          <w:sz w:val="24"/>
        </w:rPr>
        <w:t>OCG</w:t>
      </w:r>
      <w:r w:rsidR="00572782" w:rsidRPr="00572782">
        <w:rPr>
          <w:rFonts w:asciiTheme="minorHAnsi" w:hAnsiTheme="minorHAnsi" w:cstheme="minorHAnsi"/>
          <w:i/>
          <w:sz w:val="24"/>
        </w:rPr>
        <w:t xml:space="preserve"> is invited to </w:t>
      </w:r>
      <w:r w:rsidR="00572782">
        <w:rPr>
          <w:rFonts w:asciiTheme="minorHAnsi" w:hAnsiTheme="minorHAnsi" w:cstheme="minorHAnsi"/>
          <w:i/>
          <w:sz w:val="24"/>
        </w:rPr>
        <w:t xml:space="preserve">comment </w:t>
      </w:r>
      <w:r w:rsidR="00572782" w:rsidRPr="00572782">
        <w:rPr>
          <w:rFonts w:asciiTheme="minorHAnsi" w:hAnsiTheme="minorHAnsi" w:cstheme="minorHAnsi"/>
          <w:i/>
          <w:sz w:val="24"/>
        </w:rPr>
        <w:t xml:space="preserve">the proposal </w:t>
      </w:r>
      <w:r w:rsidR="00572782">
        <w:rPr>
          <w:rFonts w:asciiTheme="minorHAnsi" w:hAnsiTheme="minorHAnsi" w:cstheme="minorHAnsi"/>
          <w:i/>
          <w:sz w:val="24"/>
        </w:rPr>
        <w:t xml:space="preserve">that has been presented to the Board </w:t>
      </w:r>
      <w:r w:rsidR="00572782" w:rsidRPr="00572782">
        <w:rPr>
          <w:rFonts w:asciiTheme="minorHAnsi" w:hAnsiTheme="minorHAnsi" w:cstheme="minorHAnsi"/>
          <w:i/>
          <w:sz w:val="24"/>
        </w:rPr>
        <w:t>for a new STF setup process based upon a Call for Tender approach and to endorse the principle to test this approach on one or two STF requests under the 1st allocation of the STF budget 2015.</w:t>
      </w:r>
    </w:p>
    <w:p w:rsidR="007A3763" w:rsidRDefault="007A3763" w:rsidP="007833A7">
      <w:pPr>
        <w:rPr>
          <w:rFonts w:ascii="Arial" w:hAnsi="Arial" w:cs="Arial"/>
        </w:rPr>
      </w:pPr>
    </w:p>
    <w:p w:rsidR="00572782" w:rsidRPr="00240660" w:rsidRDefault="00572782" w:rsidP="00572782">
      <w:pPr>
        <w:pStyle w:val="Heading1"/>
      </w:pPr>
      <w:r>
        <w:t>2</w:t>
      </w:r>
      <w:r w:rsidRPr="00240660">
        <w:tab/>
      </w:r>
      <w:r>
        <w:t>Objective</w:t>
      </w:r>
    </w:p>
    <w:p w:rsidR="00572782" w:rsidRDefault="00572782" w:rsidP="00572782">
      <w:r>
        <w:t>This document presents the guidelines of a proposal for a new process to manage the STF setup phase from the TC request to the establishment of experts’ contracts.</w:t>
      </w:r>
    </w:p>
    <w:p w:rsidR="00572782" w:rsidRDefault="00572782" w:rsidP="00572782"/>
    <w:p w:rsidR="00572782" w:rsidRDefault="00572782" w:rsidP="00572782">
      <w:r>
        <w:t xml:space="preserve">It is proposed to test the implementation of the new process on one or two </w:t>
      </w:r>
      <w:r w:rsidRPr="0028294F">
        <w:t xml:space="preserve">STF requests </w:t>
      </w:r>
      <w:r>
        <w:t xml:space="preserve">under </w:t>
      </w:r>
      <w:r w:rsidRPr="0028294F">
        <w:t>the 1</w:t>
      </w:r>
      <w:r w:rsidRPr="0028294F">
        <w:rPr>
          <w:vertAlign w:val="superscript"/>
        </w:rPr>
        <w:t>st</w:t>
      </w:r>
      <w:r>
        <w:t> </w:t>
      </w:r>
      <w:r w:rsidRPr="0028294F">
        <w:t>al</w:t>
      </w:r>
      <w:r>
        <w:t>location of the STF budget 2015 and, if successful, come back to the Board with a detailed process description for approval, during 2015 and implement the new process for the FWP 2016.</w:t>
      </w:r>
    </w:p>
    <w:p w:rsidR="00572782" w:rsidRDefault="00572782" w:rsidP="00572782"/>
    <w:p w:rsidR="00572782" w:rsidRDefault="00572782" w:rsidP="00572782">
      <w:pPr>
        <w:pStyle w:val="Heading1"/>
      </w:pPr>
      <w:r>
        <w:t>3</w:t>
      </w:r>
      <w:r w:rsidRPr="00240660">
        <w:tab/>
      </w:r>
      <w:r>
        <w:t>Current STF set-up process</w:t>
      </w:r>
    </w:p>
    <w:p w:rsidR="00572782" w:rsidRPr="007467E7" w:rsidRDefault="00572782" w:rsidP="00572782">
      <w:pPr>
        <w:pStyle w:val="B0"/>
      </w:pPr>
      <w:r>
        <w:t>The current process has the following advantages:</w:t>
      </w:r>
    </w:p>
    <w:p w:rsidR="00572782" w:rsidRPr="002A60B9" w:rsidRDefault="00572782" w:rsidP="00572782">
      <w:pPr>
        <w:pStyle w:val="B10"/>
        <w:keepNext/>
        <w:numPr>
          <w:ilvl w:val="0"/>
          <w:numId w:val="18"/>
        </w:numPr>
        <w:tabs>
          <w:tab w:val="left" w:pos="426"/>
        </w:tabs>
        <w:spacing w:line="240" w:lineRule="atLeast"/>
        <w:ind w:left="426" w:hanging="284"/>
        <w:jc w:val="both"/>
      </w:pPr>
      <w:r>
        <w:t>Easy budget management</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Short lead time to set-up STFs</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Competence sharing / open collaboration / teamwork</w:t>
      </w:r>
      <w:r>
        <w:t xml:space="preserve"> between experts</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Open Members / stakeholders participation</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Favours consensus building</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Direct TC control, flexibility to revise objectives, if needed</w:t>
      </w:r>
    </w:p>
    <w:p w:rsidR="00572782" w:rsidRPr="00AA18D0" w:rsidRDefault="00572782" w:rsidP="00572782">
      <w:pPr>
        <w:pStyle w:val="B10"/>
        <w:keepNext/>
        <w:numPr>
          <w:ilvl w:val="0"/>
          <w:numId w:val="18"/>
        </w:numPr>
        <w:tabs>
          <w:tab w:val="left" w:pos="426"/>
        </w:tabs>
        <w:spacing w:line="240" w:lineRule="atLeast"/>
        <w:ind w:left="426" w:hanging="284"/>
        <w:jc w:val="both"/>
      </w:pPr>
      <w:r w:rsidRPr="002A60B9">
        <w:t>Compatible with EC/EFTA FPA</w:t>
      </w:r>
    </w:p>
    <w:p w:rsidR="00572782" w:rsidRDefault="00572782" w:rsidP="00572782"/>
    <w:p w:rsidR="00572782" w:rsidRDefault="00572782" w:rsidP="00572782">
      <w:pPr>
        <w:pStyle w:val="B0"/>
      </w:pPr>
      <w:r>
        <w:t>The experience has also shown the following drawbacks:</w:t>
      </w:r>
    </w:p>
    <w:p w:rsidR="00572782" w:rsidRPr="002A60B9" w:rsidRDefault="00572782" w:rsidP="00572782">
      <w:pPr>
        <w:pStyle w:val="B10"/>
        <w:keepNext/>
        <w:numPr>
          <w:ilvl w:val="0"/>
          <w:numId w:val="18"/>
        </w:numPr>
        <w:tabs>
          <w:tab w:val="left" w:pos="426"/>
        </w:tabs>
        <w:spacing w:line="240" w:lineRule="atLeast"/>
        <w:ind w:left="426" w:hanging="284"/>
        <w:jc w:val="both"/>
      </w:pPr>
      <w:r>
        <w:t>C</w:t>
      </w:r>
      <w:r w:rsidRPr="002A60B9">
        <w:t>ost estimate</w:t>
      </w:r>
      <w:r>
        <w:t xml:space="preserve"> criteria are uncertain</w:t>
      </w:r>
    </w:p>
    <w:p w:rsidR="00572782" w:rsidRDefault="00572782" w:rsidP="00572782">
      <w:pPr>
        <w:pStyle w:val="B10"/>
        <w:keepNext/>
        <w:numPr>
          <w:ilvl w:val="0"/>
          <w:numId w:val="18"/>
        </w:numPr>
        <w:tabs>
          <w:tab w:val="left" w:pos="426"/>
        </w:tabs>
        <w:spacing w:line="240" w:lineRule="atLeast"/>
        <w:ind w:left="426" w:hanging="284"/>
        <w:jc w:val="both"/>
      </w:pPr>
      <w:r w:rsidRPr="002A60B9">
        <w:t xml:space="preserve">Fixed daily rate limits opportunity for </w:t>
      </w:r>
      <w:r>
        <w:t>cost optimization</w:t>
      </w:r>
    </w:p>
    <w:p w:rsidR="00572782" w:rsidRDefault="00572782" w:rsidP="00572782">
      <w:pPr>
        <w:pStyle w:val="B10"/>
        <w:keepNext/>
        <w:numPr>
          <w:ilvl w:val="0"/>
          <w:numId w:val="18"/>
        </w:numPr>
        <w:tabs>
          <w:tab w:val="left" w:pos="426"/>
        </w:tabs>
        <w:spacing w:line="240" w:lineRule="atLeast"/>
        <w:ind w:left="426" w:hanging="284"/>
        <w:jc w:val="both"/>
      </w:pPr>
      <w:r>
        <w:t>There is a tendency to rely on “known experts”</w:t>
      </w:r>
    </w:p>
    <w:p w:rsidR="00572782" w:rsidRPr="002A60B9" w:rsidRDefault="00572782" w:rsidP="00572782">
      <w:pPr>
        <w:pStyle w:val="B10"/>
        <w:keepNext/>
        <w:numPr>
          <w:ilvl w:val="0"/>
          <w:numId w:val="18"/>
        </w:numPr>
        <w:tabs>
          <w:tab w:val="left" w:pos="426"/>
        </w:tabs>
        <w:spacing w:line="240" w:lineRule="atLeast"/>
        <w:ind w:left="426" w:hanging="284"/>
        <w:jc w:val="both"/>
      </w:pPr>
      <w:r>
        <w:t>Some mechanism (e.g. voluntary contribution) do not correspond to a recognized business model</w:t>
      </w:r>
    </w:p>
    <w:p w:rsidR="00572782" w:rsidRPr="002A60B9" w:rsidRDefault="00572782" w:rsidP="00572782">
      <w:pPr>
        <w:pStyle w:val="B10"/>
        <w:keepNext/>
        <w:numPr>
          <w:ilvl w:val="0"/>
          <w:numId w:val="18"/>
        </w:numPr>
        <w:tabs>
          <w:tab w:val="left" w:pos="426"/>
        </w:tabs>
        <w:spacing w:line="240" w:lineRule="atLeast"/>
        <w:ind w:left="426" w:hanging="284"/>
        <w:jc w:val="both"/>
      </w:pPr>
      <w:r w:rsidRPr="002A60B9">
        <w:t>ETSI has legal liability with the remuneration of time spent</w:t>
      </w:r>
    </w:p>
    <w:p w:rsidR="00572782" w:rsidRDefault="00572782" w:rsidP="00572782"/>
    <w:p w:rsidR="00572782" w:rsidRDefault="00572782" w:rsidP="00572782"/>
    <w:p w:rsidR="00572782" w:rsidRDefault="00572782" w:rsidP="00572782"/>
    <w:p w:rsidR="00572782" w:rsidRDefault="00572782" w:rsidP="00572782"/>
    <w:p w:rsidR="00572782" w:rsidRDefault="00572782" w:rsidP="00572782">
      <w:pPr>
        <w:pStyle w:val="Heading1"/>
      </w:pPr>
      <w:r>
        <w:t>4</w:t>
      </w:r>
      <w:r w:rsidRPr="00240660">
        <w:tab/>
      </w:r>
      <w:r>
        <w:t>New process principles</w:t>
      </w:r>
    </w:p>
    <w:p w:rsidR="00572782" w:rsidRPr="00A272B4" w:rsidRDefault="00572782" w:rsidP="00572782">
      <w:r w:rsidRPr="00A272B4">
        <w:t xml:space="preserve">The objective of the </w:t>
      </w:r>
      <w:r>
        <w:t>proposed</w:t>
      </w:r>
      <w:r w:rsidRPr="00A272B4">
        <w:t xml:space="preserve"> process is to improve the quality and cost effectiveness of the STFs by introducing a competitive Call for Tender for the selection of the contractors.  The objective is to ensure the </w:t>
      </w:r>
      <w:r w:rsidRPr="007000F1">
        <w:rPr>
          <w:i/>
          <w:u w:val="single"/>
        </w:rPr>
        <w:t>right expertise for the right price</w:t>
      </w:r>
      <w:r w:rsidRPr="00A272B4">
        <w:t xml:space="preserve"> and </w:t>
      </w:r>
      <w:r w:rsidRPr="007000F1">
        <w:rPr>
          <w:i/>
          <w:u w:val="single"/>
        </w:rPr>
        <w:t>preserve the strength of the current system</w:t>
      </w:r>
      <w:r w:rsidRPr="00A272B4">
        <w:t>.</w:t>
      </w:r>
    </w:p>
    <w:p w:rsidR="00572782" w:rsidRDefault="00572782" w:rsidP="00572782"/>
    <w:p w:rsidR="00572782" w:rsidRDefault="00572782" w:rsidP="00572782">
      <w:r w:rsidRPr="00572782">
        <w:t>In the new process, TC requests must provide a more detailed technical description of the work to be done but with no cost evaluation.</w:t>
      </w:r>
    </w:p>
    <w:p w:rsidR="00572782" w:rsidRPr="00572782" w:rsidRDefault="00572782" w:rsidP="00572782"/>
    <w:p w:rsidR="00572782" w:rsidRDefault="00572782" w:rsidP="00572782">
      <w:r w:rsidRPr="00572782">
        <w:t>The TC requests will be submitted for OCG/Board review.  The OCG will assess the technical consistency.  The Board will decide which activities can be funded and set a priority ranking.</w:t>
      </w:r>
    </w:p>
    <w:p w:rsidR="00572782" w:rsidRPr="00572782" w:rsidRDefault="00572782" w:rsidP="00572782"/>
    <w:p w:rsidR="00572782" w:rsidRDefault="00572782" w:rsidP="00572782">
      <w:r w:rsidRPr="00572782">
        <w:t xml:space="preserve">The approved TC requests will be submitted to a Call for Tender.  </w:t>
      </w:r>
    </w:p>
    <w:p w:rsidR="00572782" w:rsidRPr="00572782" w:rsidRDefault="00572782" w:rsidP="00572782"/>
    <w:p w:rsidR="00572782" w:rsidRDefault="00572782" w:rsidP="00572782">
      <w:r w:rsidRPr="00572782">
        <w:t>Answers must include details on the technical competence offered by the Company, the proposed approach and price.  Bidders can apply for the whole project or part of it, according to their expertise and the nature of the project.</w:t>
      </w:r>
    </w:p>
    <w:p w:rsidR="00572782" w:rsidRPr="00572782" w:rsidRDefault="00572782" w:rsidP="00572782"/>
    <w:p w:rsidR="00572782" w:rsidRDefault="00572782" w:rsidP="00572782">
      <w:r w:rsidRPr="00572782">
        <w:t>Offers will be evaluated by the TC Officials and the Secretariat with respect to the technical value and price, with the objective to select the Companies that offer the “right expertise for the right price” to fulfil the project requirements.</w:t>
      </w:r>
    </w:p>
    <w:p w:rsidR="00572782" w:rsidRPr="00572782" w:rsidRDefault="00572782" w:rsidP="00572782"/>
    <w:p w:rsidR="00572782" w:rsidRDefault="00572782" w:rsidP="00572782">
      <w:r w:rsidRPr="00572782">
        <w:t>If the cost is compatible with the overall STF budget and the priority set by the Board, the Secretariat will issue fixed-price service contracts.  Payments will be made upon achievement of intermediate milestones and delivery of the final product, verified and accepted by the TC and the Secretariat.</w:t>
      </w:r>
    </w:p>
    <w:p w:rsidR="00572782" w:rsidRPr="00572782" w:rsidRDefault="00572782" w:rsidP="00572782"/>
    <w:p w:rsidR="00572782" w:rsidRPr="00572782" w:rsidRDefault="00572782" w:rsidP="00572782">
      <w:pPr>
        <w:pStyle w:val="B0"/>
      </w:pPr>
      <w:r w:rsidRPr="00572782">
        <w:t>The implementation of this process will require changes in the current approach and, in particular:</w:t>
      </w:r>
    </w:p>
    <w:p w:rsidR="00572782" w:rsidRPr="00572782" w:rsidRDefault="00572782" w:rsidP="00572782"/>
    <w:p w:rsidR="00572782" w:rsidRPr="00572782" w:rsidRDefault="00572782" w:rsidP="00572782">
      <w:pPr>
        <w:pStyle w:val="B10"/>
        <w:keepNext/>
        <w:numPr>
          <w:ilvl w:val="0"/>
          <w:numId w:val="18"/>
        </w:numPr>
        <w:tabs>
          <w:tab w:val="left" w:pos="567"/>
        </w:tabs>
        <w:spacing w:line="240" w:lineRule="atLeast"/>
        <w:jc w:val="both"/>
      </w:pPr>
      <w:r w:rsidRPr="00572782">
        <w:t>OCG and Board must set clear strategy guidelines and define priority ranking.</w:t>
      </w:r>
    </w:p>
    <w:p w:rsidR="00572782" w:rsidRPr="00572782" w:rsidRDefault="00572782" w:rsidP="00572782">
      <w:pPr>
        <w:pStyle w:val="B10"/>
        <w:keepNext/>
        <w:numPr>
          <w:ilvl w:val="0"/>
          <w:numId w:val="18"/>
        </w:numPr>
        <w:tabs>
          <w:tab w:val="left" w:pos="567"/>
        </w:tabs>
        <w:spacing w:line="240" w:lineRule="atLeast"/>
        <w:jc w:val="both"/>
      </w:pPr>
      <w:r w:rsidRPr="00572782">
        <w:t>TCs must perform a detailed analysis of the project in qualitative and quantitative terms,</w:t>
      </w:r>
    </w:p>
    <w:p w:rsidR="00572782" w:rsidRPr="00572782" w:rsidRDefault="00572782" w:rsidP="00572782">
      <w:pPr>
        <w:pStyle w:val="B10"/>
        <w:keepNext/>
        <w:numPr>
          <w:ilvl w:val="0"/>
          <w:numId w:val="18"/>
        </w:numPr>
        <w:tabs>
          <w:tab w:val="left" w:pos="567"/>
        </w:tabs>
        <w:spacing w:line="240" w:lineRule="atLeast"/>
        <w:jc w:val="both"/>
      </w:pPr>
      <w:r w:rsidRPr="00572782">
        <w:t>The Secretariat must support the TC to define requirements and to manage service contracts.</w:t>
      </w:r>
    </w:p>
    <w:p w:rsidR="00572782" w:rsidRPr="00572782" w:rsidRDefault="00572782" w:rsidP="00572782"/>
    <w:p w:rsidR="00572782" w:rsidRPr="007467E7" w:rsidRDefault="00572782" w:rsidP="00572782">
      <w:pPr>
        <w:pStyle w:val="B0"/>
      </w:pPr>
      <w:r>
        <w:t>The new process is expected to have the following advantages:</w:t>
      </w:r>
    </w:p>
    <w:p w:rsidR="00572782" w:rsidRPr="00BD4638" w:rsidRDefault="00572782" w:rsidP="00572782">
      <w:pPr>
        <w:pStyle w:val="B10"/>
        <w:keepNext/>
        <w:numPr>
          <w:ilvl w:val="0"/>
          <w:numId w:val="18"/>
        </w:numPr>
        <w:tabs>
          <w:tab w:val="left" w:pos="567"/>
        </w:tabs>
        <w:spacing w:line="240" w:lineRule="atLeast"/>
        <w:jc w:val="both"/>
      </w:pPr>
      <w:r w:rsidRPr="00BD4638">
        <w:t>Cost based upon market offers</w:t>
      </w:r>
    </w:p>
    <w:p w:rsidR="00572782" w:rsidRPr="00BD4638" w:rsidRDefault="00572782" w:rsidP="00572782">
      <w:pPr>
        <w:pStyle w:val="B10"/>
        <w:keepNext/>
        <w:numPr>
          <w:ilvl w:val="0"/>
          <w:numId w:val="18"/>
        </w:numPr>
        <w:tabs>
          <w:tab w:val="left" w:pos="567"/>
        </w:tabs>
        <w:spacing w:line="240" w:lineRule="atLeast"/>
        <w:jc w:val="both"/>
      </w:pPr>
      <w:r w:rsidRPr="00BD4638">
        <w:t>Price self-regulated by competition</w:t>
      </w:r>
    </w:p>
    <w:p w:rsidR="00572782" w:rsidRPr="00BD4638" w:rsidRDefault="00572782" w:rsidP="00572782">
      <w:pPr>
        <w:pStyle w:val="B10"/>
        <w:keepNext/>
        <w:numPr>
          <w:ilvl w:val="0"/>
          <w:numId w:val="18"/>
        </w:numPr>
        <w:tabs>
          <w:tab w:val="left" w:pos="567"/>
        </w:tabs>
        <w:spacing w:line="240" w:lineRule="atLeast"/>
        <w:jc w:val="both"/>
      </w:pPr>
      <w:r w:rsidRPr="00BD4638">
        <w:t xml:space="preserve">Enforce clear requirements definition </w:t>
      </w:r>
      <w:r>
        <w:t>by the TC</w:t>
      </w:r>
    </w:p>
    <w:p w:rsidR="00572782" w:rsidRPr="00BD4638" w:rsidRDefault="00572782" w:rsidP="00572782">
      <w:pPr>
        <w:pStyle w:val="B10"/>
        <w:keepNext/>
        <w:numPr>
          <w:ilvl w:val="0"/>
          <w:numId w:val="18"/>
        </w:numPr>
        <w:tabs>
          <w:tab w:val="left" w:pos="567"/>
        </w:tabs>
        <w:spacing w:line="240" w:lineRule="atLeast"/>
        <w:jc w:val="both"/>
      </w:pPr>
      <w:r>
        <w:t>Enforce</w:t>
      </w:r>
      <w:r w:rsidRPr="00BD4638">
        <w:t xml:space="preserve"> clear task / deliverables assignment to contractors</w:t>
      </w:r>
    </w:p>
    <w:p w:rsidR="00572782" w:rsidRPr="00BD4638" w:rsidRDefault="00572782" w:rsidP="00572782">
      <w:pPr>
        <w:pStyle w:val="B10"/>
        <w:keepNext/>
        <w:numPr>
          <w:ilvl w:val="0"/>
          <w:numId w:val="18"/>
        </w:numPr>
        <w:tabs>
          <w:tab w:val="left" w:pos="567"/>
        </w:tabs>
        <w:spacing w:line="240" w:lineRule="atLeast"/>
        <w:jc w:val="both"/>
      </w:pPr>
      <w:r w:rsidRPr="00BD4638">
        <w:t>Service contract</w:t>
      </w:r>
      <w:r>
        <w:t xml:space="preserve"> </w:t>
      </w:r>
      <w:r w:rsidRPr="00BD4638">
        <w:t>legally safe for ETSI</w:t>
      </w:r>
    </w:p>
    <w:p w:rsidR="00572782" w:rsidRPr="00BD4638" w:rsidRDefault="00572782" w:rsidP="00572782">
      <w:pPr>
        <w:pStyle w:val="B10"/>
        <w:keepNext/>
        <w:numPr>
          <w:ilvl w:val="0"/>
          <w:numId w:val="18"/>
        </w:numPr>
        <w:tabs>
          <w:tab w:val="left" w:pos="567"/>
        </w:tabs>
        <w:spacing w:line="240" w:lineRule="atLeast"/>
        <w:jc w:val="both"/>
      </w:pPr>
      <w:r w:rsidRPr="00BD4638">
        <w:t>It is a standard business process</w:t>
      </w:r>
    </w:p>
    <w:p w:rsidR="00572782" w:rsidRDefault="00572782" w:rsidP="00572782">
      <w:pPr>
        <w:pStyle w:val="B10"/>
        <w:keepNext/>
        <w:numPr>
          <w:ilvl w:val="0"/>
          <w:numId w:val="18"/>
        </w:numPr>
        <w:tabs>
          <w:tab w:val="left" w:pos="567"/>
        </w:tabs>
        <w:spacing w:line="240" w:lineRule="atLeast"/>
        <w:jc w:val="both"/>
      </w:pPr>
      <w:r w:rsidRPr="00BD4638">
        <w:t>Stop discussion on voluntary work</w:t>
      </w:r>
    </w:p>
    <w:p w:rsidR="00572782" w:rsidRDefault="00572782" w:rsidP="00572782"/>
    <w:p w:rsidR="00572782" w:rsidRDefault="00572782" w:rsidP="00572782"/>
    <w:p w:rsidR="00572782" w:rsidRDefault="00572782" w:rsidP="00572782">
      <w:pPr>
        <w:pStyle w:val="Heading1"/>
      </w:pPr>
      <w:r>
        <w:t>5</w:t>
      </w:r>
      <w:r>
        <w:tab/>
        <w:t>Calendar</w:t>
      </w:r>
    </w:p>
    <w:p w:rsidR="00572782" w:rsidRDefault="00572782" w:rsidP="00572782">
      <w:pPr>
        <w:pStyle w:val="B10"/>
        <w:keepNext/>
        <w:numPr>
          <w:ilvl w:val="0"/>
          <w:numId w:val="18"/>
        </w:numPr>
        <w:tabs>
          <w:tab w:val="left" w:pos="567"/>
        </w:tabs>
        <w:spacing w:line="240" w:lineRule="atLeast"/>
        <w:jc w:val="both"/>
      </w:pPr>
      <w:r>
        <w:t>T</w:t>
      </w:r>
      <w:r w:rsidRPr="00ED6551">
        <w:t>est the process</w:t>
      </w:r>
      <w:r>
        <w:t xml:space="preserve"> on </w:t>
      </w:r>
      <w:r w:rsidRPr="00ED6551">
        <w:t xml:space="preserve">one or two STFs under the 1st allocation 2015 (Board#100, 20 Nov) </w:t>
      </w:r>
    </w:p>
    <w:p w:rsidR="00572782" w:rsidRPr="00ED6551" w:rsidRDefault="00572782" w:rsidP="00572782">
      <w:pPr>
        <w:pStyle w:val="B10"/>
        <w:keepNext/>
        <w:numPr>
          <w:ilvl w:val="0"/>
          <w:numId w:val="18"/>
        </w:numPr>
        <w:tabs>
          <w:tab w:val="left" w:pos="567"/>
        </w:tabs>
        <w:spacing w:line="240" w:lineRule="atLeast"/>
        <w:jc w:val="both"/>
      </w:pPr>
      <w:r>
        <w:t>Report on progress to Board#101 (4-5 Feb 2015) Board#102 (19 Mar 2015)</w:t>
      </w:r>
    </w:p>
    <w:p w:rsidR="00572782" w:rsidRPr="00ED6551" w:rsidRDefault="00572782" w:rsidP="00572782">
      <w:pPr>
        <w:pStyle w:val="B10"/>
        <w:keepNext/>
        <w:numPr>
          <w:ilvl w:val="0"/>
          <w:numId w:val="18"/>
        </w:numPr>
        <w:tabs>
          <w:tab w:val="left" w:pos="567"/>
        </w:tabs>
        <w:spacing w:line="240" w:lineRule="atLeast"/>
        <w:jc w:val="both"/>
      </w:pPr>
      <w:r w:rsidRPr="00ED6551">
        <w:t>Review result</w:t>
      </w:r>
      <w:r>
        <w:t xml:space="preserve"> of test cases</w:t>
      </w:r>
      <w:r w:rsidRPr="00ED6551">
        <w:t xml:space="preserve"> in Board#</w:t>
      </w:r>
      <w:r>
        <w:t>103</w:t>
      </w:r>
      <w:r w:rsidRPr="00ED6551">
        <w:t xml:space="preserve"> (</w:t>
      </w:r>
      <w:r>
        <w:t>9-10 June 2015</w:t>
      </w:r>
      <w:r w:rsidRPr="00ED6551">
        <w:t>)</w:t>
      </w:r>
    </w:p>
    <w:p w:rsidR="00572782" w:rsidRPr="00ED6551" w:rsidRDefault="00572782" w:rsidP="00572782">
      <w:pPr>
        <w:pStyle w:val="B10"/>
        <w:keepNext/>
        <w:numPr>
          <w:ilvl w:val="0"/>
          <w:numId w:val="18"/>
        </w:numPr>
        <w:tabs>
          <w:tab w:val="left" w:pos="567"/>
        </w:tabs>
        <w:spacing w:line="240" w:lineRule="atLeast"/>
        <w:jc w:val="both"/>
      </w:pPr>
      <w:r>
        <w:t xml:space="preserve">Detailed process description and final decision in </w:t>
      </w:r>
      <w:r w:rsidRPr="00ED6551">
        <w:t>Board#</w:t>
      </w:r>
      <w:r>
        <w:t>104</w:t>
      </w:r>
      <w:r w:rsidRPr="00ED6551">
        <w:t xml:space="preserve"> (</w:t>
      </w:r>
      <w:r>
        <w:t>September 2015</w:t>
      </w:r>
      <w:r w:rsidRPr="00ED6551">
        <w:t xml:space="preserve">) </w:t>
      </w:r>
    </w:p>
    <w:p w:rsidR="00572782" w:rsidRPr="00ED6551" w:rsidRDefault="00572782" w:rsidP="00572782">
      <w:pPr>
        <w:pStyle w:val="B10"/>
        <w:keepNext/>
        <w:numPr>
          <w:ilvl w:val="0"/>
          <w:numId w:val="18"/>
        </w:numPr>
        <w:tabs>
          <w:tab w:val="left" w:pos="567"/>
        </w:tabs>
        <w:spacing w:line="240" w:lineRule="atLeast"/>
        <w:jc w:val="both"/>
      </w:pPr>
      <w:r w:rsidRPr="00ED6551">
        <w:t xml:space="preserve">If approved, </w:t>
      </w:r>
      <w:r>
        <w:t>the new</w:t>
      </w:r>
      <w:r w:rsidRPr="00ED6551">
        <w:t xml:space="preserve"> process </w:t>
      </w:r>
      <w:r>
        <w:t xml:space="preserve">will be used </w:t>
      </w:r>
      <w:r w:rsidRPr="00ED6551">
        <w:t xml:space="preserve">for </w:t>
      </w:r>
      <w:r>
        <w:t>the 1</w:t>
      </w:r>
      <w:r w:rsidRPr="00B419B7">
        <w:rPr>
          <w:vertAlign w:val="superscript"/>
        </w:rPr>
        <w:t>st</w:t>
      </w:r>
      <w:r>
        <w:t xml:space="preserve"> </w:t>
      </w:r>
      <w:r w:rsidRPr="00ED6551">
        <w:t xml:space="preserve">allocation </w:t>
      </w:r>
      <w:r>
        <w:t xml:space="preserve">of the </w:t>
      </w:r>
      <w:r w:rsidRPr="00ED6551">
        <w:t>STF budget 201</w:t>
      </w:r>
      <w:r>
        <w:t>6</w:t>
      </w:r>
    </w:p>
    <w:sectPr w:rsidR="00572782" w:rsidRPr="00ED6551" w:rsidSect="00451055">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0C" w:rsidRDefault="0001740C" w:rsidP="00D9435B">
      <w:r>
        <w:separator/>
      </w:r>
    </w:p>
  </w:endnote>
  <w:endnote w:type="continuationSeparator" w:id="0">
    <w:p w:rsidR="0001740C" w:rsidRDefault="0001740C"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96" w:rsidRDefault="000B4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D34B9B" w:rsidRPr="0083399D">
      <w:rPr>
        <w:rFonts w:ascii="Arial" w:hAnsi="Arial" w:cs="Arial"/>
      </w:rPr>
      <w:fldChar w:fldCharType="begin"/>
    </w:r>
    <w:r w:rsidRPr="0083399D">
      <w:rPr>
        <w:rFonts w:ascii="Arial" w:hAnsi="Arial" w:cs="Arial"/>
      </w:rPr>
      <w:instrText xml:space="preserve"> PAGE   \* MERGEFORMAT </w:instrText>
    </w:r>
    <w:r w:rsidR="00D34B9B" w:rsidRPr="0083399D">
      <w:rPr>
        <w:rFonts w:ascii="Arial" w:hAnsi="Arial" w:cs="Arial"/>
      </w:rPr>
      <w:fldChar w:fldCharType="separate"/>
    </w:r>
    <w:r w:rsidR="004361D9">
      <w:rPr>
        <w:rFonts w:ascii="Arial" w:hAnsi="Arial" w:cs="Arial"/>
        <w:noProof/>
      </w:rPr>
      <w:t>2</w:t>
    </w:r>
    <w:r w:rsidR="00D34B9B" w:rsidRPr="0083399D">
      <w:rPr>
        <w:rFonts w:ascii="Arial" w:hAnsi="Arial" w:cs="Arial"/>
      </w:rPr>
      <w:fldChar w:fldCharType="end"/>
    </w:r>
    <w:r w:rsidRPr="0083399D">
      <w:rPr>
        <w:rFonts w:ascii="Arial" w:hAnsi="Arial" w:cs="Arial"/>
      </w:rPr>
      <w:t>/</w:t>
    </w:r>
    <w:fldSimple w:instr=" NUMPAGES   \* MERGEFORMAT ">
      <w:r w:rsidR="004361D9" w:rsidRPr="004361D9">
        <w:rPr>
          <w:rFonts w:ascii="Arial" w:hAnsi="Arial" w:cs="Arial"/>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96" w:rsidRDefault="000B4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0C" w:rsidRDefault="0001740C" w:rsidP="00D9435B">
      <w:r>
        <w:separator/>
      </w:r>
    </w:p>
  </w:footnote>
  <w:footnote w:type="continuationSeparator" w:id="0">
    <w:p w:rsidR="0001740C" w:rsidRDefault="0001740C"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96" w:rsidRDefault="000B4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0520B3">
      <w:rPr>
        <w:rFonts w:ascii="Arial" w:hAnsi="Arial" w:cs="Arial"/>
        <w:b/>
        <w:sz w:val="36"/>
        <w:szCs w:val="36"/>
        <w:shd w:val="clear" w:color="auto" w:fill="DBE5F1"/>
      </w:rPr>
      <w:t>OCG(</w:t>
    </w:r>
    <w:proofErr w:type="gramEnd"/>
    <w:r w:rsidR="000520B3">
      <w:rPr>
        <w:rFonts w:ascii="Arial" w:hAnsi="Arial" w:cs="Arial"/>
        <w:b/>
        <w:sz w:val="36"/>
        <w:szCs w:val="36"/>
        <w:shd w:val="clear" w:color="auto" w:fill="DBE5F1"/>
      </w:rPr>
      <w:t>14)54</w:t>
    </w:r>
    <w:r w:rsidR="00917A91">
      <w:rPr>
        <w:rFonts w:ascii="Arial" w:hAnsi="Arial" w:cs="Arial"/>
        <w:b/>
        <w:sz w:val="36"/>
        <w:szCs w:val="36"/>
        <w:shd w:val="clear" w:color="auto" w:fill="DBE5F1"/>
      </w:rPr>
      <w:t>_</w:t>
    </w:r>
    <w:r w:rsidR="000D48B4">
      <w:rPr>
        <w:rFonts w:ascii="Arial" w:hAnsi="Arial" w:cs="Arial"/>
        <w:b/>
        <w:sz w:val="36"/>
        <w:szCs w:val="36"/>
        <w:shd w:val="clear" w:color="auto" w:fill="DBE5F1"/>
      </w:rPr>
      <w:t>051</w:t>
    </w:r>
    <w:bookmarkStart w:id="6" w:name="_GoBack"/>
    <w:bookmarkEnd w:id="6"/>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96" w:rsidRDefault="000B4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57F50"/>
    <w:multiLevelType w:val="hybridMultilevel"/>
    <w:tmpl w:val="23607D60"/>
    <w:lvl w:ilvl="0" w:tplc="69BE2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D9435B"/>
    <w:rsid w:val="0000428F"/>
    <w:rsid w:val="0001740C"/>
    <w:rsid w:val="0002568A"/>
    <w:rsid w:val="000520B3"/>
    <w:rsid w:val="000A6B52"/>
    <w:rsid w:val="000B4296"/>
    <w:rsid w:val="000C4CB6"/>
    <w:rsid w:val="000D48B4"/>
    <w:rsid w:val="00101B9B"/>
    <w:rsid w:val="00117989"/>
    <w:rsid w:val="00165AB7"/>
    <w:rsid w:val="00181471"/>
    <w:rsid w:val="00191D22"/>
    <w:rsid w:val="001B09AD"/>
    <w:rsid w:val="001B165D"/>
    <w:rsid w:val="001D62B3"/>
    <w:rsid w:val="001E15D8"/>
    <w:rsid w:val="001F31DA"/>
    <w:rsid w:val="00205C5D"/>
    <w:rsid w:val="00205CF2"/>
    <w:rsid w:val="002200F3"/>
    <w:rsid w:val="002400F4"/>
    <w:rsid w:val="002676F5"/>
    <w:rsid w:val="002A3728"/>
    <w:rsid w:val="002D2E6B"/>
    <w:rsid w:val="002F1FCD"/>
    <w:rsid w:val="002F44C1"/>
    <w:rsid w:val="002F5958"/>
    <w:rsid w:val="00380E33"/>
    <w:rsid w:val="003A0C14"/>
    <w:rsid w:val="003B5323"/>
    <w:rsid w:val="003D5716"/>
    <w:rsid w:val="003D6933"/>
    <w:rsid w:val="004124A2"/>
    <w:rsid w:val="00422891"/>
    <w:rsid w:val="00433CA6"/>
    <w:rsid w:val="004361D9"/>
    <w:rsid w:val="00436613"/>
    <w:rsid w:val="004375B5"/>
    <w:rsid w:val="00451055"/>
    <w:rsid w:val="0048323C"/>
    <w:rsid w:val="004D1743"/>
    <w:rsid w:val="00516885"/>
    <w:rsid w:val="005208F8"/>
    <w:rsid w:val="0053638D"/>
    <w:rsid w:val="005476C1"/>
    <w:rsid w:val="00551F4D"/>
    <w:rsid w:val="0056580A"/>
    <w:rsid w:val="00571482"/>
    <w:rsid w:val="00572782"/>
    <w:rsid w:val="005B115B"/>
    <w:rsid w:val="005E4A8F"/>
    <w:rsid w:val="005F1E6A"/>
    <w:rsid w:val="006017EC"/>
    <w:rsid w:val="006050AB"/>
    <w:rsid w:val="006133B5"/>
    <w:rsid w:val="00620AA5"/>
    <w:rsid w:val="00627948"/>
    <w:rsid w:val="00631480"/>
    <w:rsid w:val="00661BC0"/>
    <w:rsid w:val="006661ED"/>
    <w:rsid w:val="00683AE1"/>
    <w:rsid w:val="006F331A"/>
    <w:rsid w:val="007017A1"/>
    <w:rsid w:val="00723463"/>
    <w:rsid w:val="0074491A"/>
    <w:rsid w:val="00745E27"/>
    <w:rsid w:val="00776B64"/>
    <w:rsid w:val="007833A7"/>
    <w:rsid w:val="007A3763"/>
    <w:rsid w:val="007A6723"/>
    <w:rsid w:val="007B6346"/>
    <w:rsid w:val="007F1978"/>
    <w:rsid w:val="00832E39"/>
    <w:rsid w:val="0083399D"/>
    <w:rsid w:val="008745A4"/>
    <w:rsid w:val="00875C64"/>
    <w:rsid w:val="00877C83"/>
    <w:rsid w:val="00887234"/>
    <w:rsid w:val="008B51CE"/>
    <w:rsid w:val="008D3A77"/>
    <w:rsid w:val="008D5477"/>
    <w:rsid w:val="008F7EE0"/>
    <w:rsid w:val="0091037B"/>
    <w:rsid w:val="00912D71"/>
    <w:rsid w:val="00917A91"/>
    <w:rsid w:val="009677A1"/>
    <w:rsid w:val="00996DA5"/>
    <w:rsid w:val="009C7208"/>
    <w:rsid w:val="009D71E5"/>
    <w:rsid w:val="00A52B10"/>
    <w:rsid w:val="00A53EDB"/>
    <w:rsid w:val="00AA1E24"/>
    <w:rsid w:val="00B179D6"/>
    <w:rsid w:val="00B22603"/>
    <w:rsid w:val="00B44A99"/>
    <w:rsid w:val="00B80A28"/>
    <w:rsid w:val="00B837B4"/>
    <w:rsid w:val="00BA5448"/>
    <w:rsid w:val="00BC2F02"/>
    <w:rsid w:val="00BE7AFE"/>
    <w:rsid w:val="00BF503A"/>
    <w:rsid w:val="00C74523"/>
    <w:rsid w:val="00CA135C"/>
    <w:rsid w:val="00CA6465"/>
    <w:rsid w:val="00CB2D01"/>
    <w:rsid w:val="00CC07A5"/>
    <w:rsid w:val="00D11314"/>
    <w:rsid w:val="00D22FCC"/>
    <w:rsid w:val="00D236E0"/>
    <w:rsid w:val="00D252DF"/>
    <w:rsid w:val="00D34B9B"/>
    <w:rsid w:val="00D56DA5"/>
    <w:rsid w:val="00D840A5"/>
    <w:rsid w:val="00D9435B"/>
    <w:rsid w:val="00DB251F"/>
    <w:rsid w:val="00DE0933"/>
    <w:rsid w:val="00E04CAA"/>
    <w:rsid w:val="00E07887"/>
    <w:rsid w:val="00E108E1"/>
    <w:rsid w:val="00E26C9A"/>
    <w:rsid w:val="00E57173"/>
    <w:rsid w:val="00E8483E"/>
    <w:rsid w:val="00E85773"/>
    <w:rsid w:val="00E95AD2"/>
    <w:rsid w:val="00EA4F2A"/>
    <w:rsid w:val="00EB16B6"/>
    <w:rsid w:val="00EE27AD"/>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customStyle="1" w:styleId="B0">
    <w:name w:val="B0"/>
    <w:basedOn w:val="Normal"/>
    <w:qFormat/>
    <w:rsid w:val="00572782"/>
    <w:pPr>
      <w:keepNext/>
      <w:spacing w:after="120"/>
    </w:pPr>
  </w:style>
  <w:style w:type="paragraph" w:customStyle="1" w:styleId="Normalspaced">
    <w:name w:val="Normal spaced"/>
    <w:basedOn w:val="Normal"/>
    <w:rsid w:val="00572782"/>
    <w:pPr>
      <w:tabs>
        <w:tab w:val="left" w:pos="1418"/>
        <w:tab w:val="left" w:pos="4678"/>
        <w:tab w:val="left" w:pos="5954"/>
        <w:tab w:val="left" w:pos="7088"/>
      </w:tabs>
      <w:spacing w:after="120"/>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F630-C129-41CB-8585-B7CC9E10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Emmanuelle Chaulot-Talmom</cp:lastModifiedBy>
  <cp:revision>2</cp:revision>
  <cp:lastPrinted>2010-12-06T15:51:00Z</cp:lastPrinted>
  <dcterms:created xsi:type="dcterms:W3CDTF">2014-09-24T07:25:00Z</dcterms:created>
  <dcterms:modified xsi:type="dcterms:W3CDTF">2014-09-24T07:25:00Z</dcterms:modified>
</cp:coreProperties>
</file>