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7877A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6E3F1E">
              <w:rPr>
                <w:rFonts w:ascii="Arial" w:hAnsi="Arial" w:cs="Arial"/>
                <w:color w:val="0000FF"/>
                <w:sz w:val="24"/>
                <w:szCs w:val="24"/>
              </w:rPr>
              <w:t>9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7877A3" w:rsidP="006E3F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6E3F1E">
              <w:rPr>
                <w:rFonts w:ascii="Arial" w:hAnsi="Arial" w:cs="Arial"/>
                <w:sz w:val="16"/>
              </w:rPr>
              <w:t>Sept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7877A3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7877A3">
              <w:rPr>
                <w:rFonts w:ascii="Arial" w:hAnsi="Arial" w:cs="Arial"/>
              </w:rPr>
              <w:t>6</w:t>
            </w:r>
            <w:r w:rsidR="006664DB">
              <w:rPr>
                <w:rFonts w:ascii="Arial" w:hAnsi="Arial" w:cs="Arial"/>
              </w:rPr>
              <w:t>-</w:t>
            </w:r>
            <w:r w:rsidR="006E3F1E">
              <w:rPr>
                <w:rFonts w:ascii="Arial" w:hAnsi="Arial" w:cs="Arial"/>
              </w:rPr>
              <w:t>15</w:t>
            </w:r>
            <w:r w:rsidR="00A77C36">
              <w:rPr>
                <w:rFonts w:ascii="Arial" w:hAnsi="Arial" w:cs="Arial"/>
              </w:rPr>
              <w:t>-</w:t>
            </w:r>
            <w:r w:rsidR="006E3F1E">
              <w:rPr>
                <w:rFonts w:ascii="Arial" w:hAnsi="Arial" w:cs="Arial"/>
              </w:rPr>
              <w:t>09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7877A3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6E3F1E">
              <w:rPr>
                <w:rFonts w:ascii="Arial" w:hAnsi="Arial" w:cs="Arial"/>
                <w:b/>
                <w:sz w:val="22"/>
                <w:szCs w:val="24"/>
              </w:rPr>
              <w:t>9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614B9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r>
        <w:t>AbC</w:t>
      </w:r>
      <w:proofErr w:type="spell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2015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p w:rsidR="008E68D8" w:rsidRPr="009E2ADC" w:rsidRDefault="008E68D8" w:rsidP="00E01258">
      <w:pPr>
        <w:pStyle w:val="Heading2"/>
        <w:numPr>
          <w:ilvl w:val="0"/>
          <w:numId w:val="0"/>
        </w:numPr>
        <w:ind w:left="567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E01258" w:rsidTr="00E1597D">
        <w:tc>
          <w:tcPr>
            <w:tcW w:w="1555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</w:t>
            </w:r>
            <w:r w:rsidRPr="00A53C3F">
              <w:rPr>
                <w:b/>
                <w:color w:val="00B050"/>
              </w:rPr>
              <w:t>)01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r>
              <w:rPr>
                <w:lang w:eastAsia="en-GB"/>
              </w:rPr>
              <w:t>Milan Zoric: review the TTCN-3  JSON draft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AP(68)02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r>
              <w:rPr>
                <w:lang w:eastAsia="en-GB"/>
              </w:rPr>
              <w:t>Andreas Ulrich produce and share a first draft abstract proposal for UCAAT, share it with the team, and submit it to UCAAT for 27</w:t>
            </w:r>
            <w:r w:rsidRPr="00FF18FD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May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AP(68)03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Em</w:t>
            </w:r>
            <w:proofErr w:type="spellEnd"/>
            <w:r>
              <w:rPr>
                <w:lang w:eastAsia="en-GB"/>
              </w:rPr>
              <w:t xml:space="preserve"> Chaulot-Talmon to send the updated version of the TDL </w:t>
            </w:r>
            <w:proofErr w:type="spellStart"/>
            <w:r>
              <w:rPr>
                <w:lang w:eastAsia="en-GB"/>
              </w:rPr>
              <w:t>ToR</w:t>
            </w:r>
            <w:proofErr w:type="spellEnd"/>
            <w:r>
              <w:rPr>
                <w:lang w:eastAsia="en-GB"/>
              </w:rPr>
              <w:t xml:space="preserve"> to Alberto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Completed</w:t>
            </w: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AP(68)04</w:t>
            </w:r>
          </w:p>
        </w:tc>
        <w:tc>
          <w:tcPr>
            <w:tcW w:w="6945" w:type="dxa"/>
          </w:tcPr>
          <w:p w:rsidR="00E01258" w:rsidRPr="00332391" w:rsidRDefault="00E01258" w:rsidP="00E1597D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Gyorgy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Réthy</w:t>
            </w:r>
            <w:proofErr w:type="spellEnd"/>
            <w:r>
              <w:rPr>
                <w:lang w:eastAsia="en-GB"/>
              </w:rPr>
              <w:t>: Update TTCN-3.org web site with highlight of new features from the 4 deliverables published in 2016.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AP(68)05</w:t>
            </w:r>
          </w:p>
        </w:tc>
        <w:tc>
          <w:tcPr>
            <w:tcW w:w="6945" w:type="dxa"/>
          </w:tcPr>
          <w:p w:rsidR="00E01258" w:rsidRDefault="00E01258" w:rsidP="00E1597D">
            <w:r>
              <w:rPr>
                <w:lang w:eastAsia="en-GB"/>
              </w:rPr>
              <w:t>CTI</w:t>
            </w:r>
            <w:r w:rsidRPr="00DD01D5">
              <w:t xml:space="preserve"> will assist MTS </w:t>
            </w:r>
            <w:r>
              <w:t xml:space="preserve">in finding out </w:t>
            </w:r>
            <w:r w:rsidRPr="00DD01D5">
              <w:t>whether E</w:t>
            </w:r>
            <w:r>
              <w:t>PL (Eclipse public license)</w:t>
            </w:r>
            <w:r w:rsidRPr="00DD01D5">
              <w:t xml:space="preserve"> licence</w:t>
            </w:r>
            <w:r>
              <w:t xml:space="preserve"> is acceptable for ETSI</w:t>
            </w:r>
            <w:r w:rsidRPr="00DD01D5">
              <w:t>. With the EPL licence the UML profile can be hosted in the eclipse modelling framework project (EMF) to reach the widest visibility among the community</w:t>
            </w:r>
            <w:r>
              <w:t>.</w:t>
            </w:r>
          </w:p>
          <w:p w:rsidR="00E01258" w:rsidRPr="001F4471" w:rsidRDefault="00E01258" w:rsidP="00E1597D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lang w:val="en-US" w:eastAsia="en-GB"/>
              </w:rPr>
            </w:pPr>
            <w:r>
              <w:rPr>
                <w:b/>
                <w:color w:val="00B050"/>
              </w:rPr>
              <w:t>AP(68)06</w:t>
            </w:r>
          </w:p>
        </w:tc>
        <w:tc>
          <w:tcPr>
            <w:tcW w:w="6945" w:type="dxa"/>
          </w:tcPr>
          <w:p w:rsidR="00E01258" w:rsidRDefault="00E01258" w:rsidP="00E1597D">
            <w:r>
              <w:rPr>
                <w:lang w:eastAsia="en-GB"/>
              </w:rPr>
              <w:t>CTI</w:t>
            </w:r>
            <w:r>
              <w:t xml:space="preserve">: Clarify the licencing and publishing condition for the reference implementation </w:t>
            </w:r>
          </w:p>
          <w:p w:rsidR="00E01258" w:rsidRPr="001F4471" w:rsidRDefault="00E01258" w:rsidP="00E1597D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AP(68)07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Bogdan </w:t>
            </w:r>
            <w:proofErr w:type="spellStart"/>
            <w:r>
              <w:rPr>
                <w:lang w:eastAsia="en-GB"/>
              </w:rPr>
              <w:t>Stanca</w:t>
            </w:r>
            <w:proofErr w:type="spellEnd"/>
            <w:r>
              <w:rPr>
                <w:lang w:eastAsia="en-GB"/>
              </w:rPr>
              <w:t>: Organise a call to plan the schedule of the WDSL WI and report progress to MTS</w:t>
            </w:r>
          </w:p>
          <w:p w:rsidR="00E01258" w:rsidRDefault="00E01258" w:rsidP="00E1597D">
            <w:pPr>
              <w:rPr>
                <w:lang w:eastAsia="en-GB"/>
              </w:rPr>
            </w:pP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AP(68)08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CTI arrange the TDL web site access with ETSI helpdesk, like for TTCN-3.org, so that the member of TWT can update the website in a timely manner.</w:t>
            </w: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AP(68)09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TWT: Use the TDL tutorial base for the webinar, target is September, but need to be synchronised before.</w:t>
            </w: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E01258" w:rsidP="00E1597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AP(68)10</w:t>
            </w:r>
          </w:p>
        </w:tc>
        <w:tc>
          <w:tcPr>
            <w:tcW w:w="6945" w:type="dxa"/>
          </w:tcPr>
          <w:p w:rsidR="00E01258" w:rsidRDefault="00E01258" w:rsidP="00E1597D">
            <w:pPr>
              <w:rPr>
                <w:color w:val="000000" w:themeColor="text1"/>
              </w:rPr>
            </w:pPr>
            <w:r w:rsidRPr="00890692">
              <w:rPr>
                <w:color w:val="000000" w:themeColor="text1"/>
              </w:rPr>
              <w:t>Andreas Ulrich:</w:t>
            </w:r>
            <w:r w:rsidRPr="004A7138">
              <w:rPr>
                <w:color w:val="000000" w:themeColor="text1"/>
              </w:rPr>
              <w:t xml:space="preserve"> draft the template email</w:t>
            </w:r>
            <w:r>
              <w:rPr>
                <w:color w:val="000000" w:themeColor="text1"/>
              </w:rPr>
              <w:t xml:space="preserve"> for new comer interested in TDL</w:t>
            </w:r>
          </w:p>
          <w:p w:rsidR="00E01258" w:rsidRDefault="00E01258" w:rsidP="00E1597D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</w:tbl>
    <w:p w:rsidR="003E4B57" w:rsidRDefault="00C133E0" w:rsidP="002C595E">
      <w:pPr>
        <w:ind w:left="567"/>
      </w:pPr>
      <w:r>
        <w:br/>
      </w: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bookmarkStart w:id="80" w:name="_Toc315121774"/>
      <w:bookmarkStart w:id="81" w:name="_Toc321832531"/>
      <w:bookmarkStart w:id="82" w:name="_Toc321832592"/>
      <w:bookmarkStart w:id="83" w:name="_Toc321832665"/>
      <w:bookmarkStart w:id="84" w:name="_Toc334703064"/>
      <w:bookmarkStart w:id="85" w:name="_Toc334705570"/>
      <w:bookmarkStart w:id="86" w:name="_Toc334705582"/>
      <w:bookmarkStart w:id="87" w:name="_Toc334705628"/>
      <w:bookmarkStart w:id="88" w:name="_Toc334706546"/>
      <w:bookmarkStart w:id="89" w:name="_Toc334706630"/>
      <w:bookmarkStart w:id="90" w:name="_Toc334709133"/>
      <w:bookmarkStart w:id="91" w:name="_Toc334714568"/>
      <w:bookmarkStart w:id="92" w:name="_Toc334792178"/>
      <w:bookmarkStart w:id="93" w:name="_Toc334792502"/>
      <w:bookmarkStart w:id="94" w:name="_Toc334792801"/>
      <w:bookmarkStart w:id="95" w:name="_Toc334793280"/>
      <w:bookmarkStart w:id="96" w:name="_Toc315121781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C76DD" w:rsidRPr="00EF6C5D" w:rsidRDefault="001C76DD" w:rsidP="001C76DD">
      <w:pPr>
        <w:pStyle w:val="Heading1"/>
        <w:ind w:left="426"/>
        <w:rPr>
          <w:sz w:val="16"/>
          <w:szCs w:val="16"/>
        </w:rPr>
      </w:pPr>
      <w:r w:rsidRPr="008F7A06">
        <w:t>Model Based Testing</w:t>
      </w:r>
      <w:r>
        <w:t xml:space="preserve"> /TDL</w:t>
      </w:r>
      <w:r>
        <w:br/>
      </w:r>
    </w:p>
    <w:p w:rsidR="001C76DD" w:rsidRDefault="001C76DD" w:rsidP="001C76DD">
      <w:pPr>
        <w:pStyle w:val="Heading2"/>
        <w:ind w:left="567"/>
      </w:pPr>
      <w:bookmarkStart w:id="97" w:name="_Toc315121772"/>
      <w:bookmarkStart w:id="98" w:name="_Toc321832543"/>
      <w:bookmarkStart w:id="99" w:name="_Toc321832604"/>
      <w:bookmarkStart w:id="100" w:name="_Toc334792190"/>
      <w:bookmarkStart w:id="101" w:name="_Toc334792514"/>
      <w:bookmarkStart w:id="102" w:name="_Toc334792813"/>
      <w:bookmarkStart w:id="103" w:name="_Toc334793292"/>
      <w:r w:rsidRPr="001C76DD">
        <w:t>TDL Open Source project</w:t>
      </w:r>
      <w:r>
        <w:t xml:space="preserve"> </w:t>
      </w:r>
      <w:r w:rsidRPr="009E0CAE">
        <w:rPr>
          <w:color w:val="0000FF"/>
        </w:rPr>
        <w:t>[</w:t>
      </w:r>
      <w:r>
        <w:rPr>
          <w:color w:val="0000FF"/>
        </w:rPr>
        <w:t>Wiles</w:t>
      </w:r>
      <w:r w:rsidRPr="009E0CAE">
        <w:rPr>
          <w:color w:val="0000FF"/>
        </w:rPr>
        <w:t>]</w:t>
      </w:r>
    </w:p>
    <w:p w:rsidR="001C76DD" w:rsidRDefault="001C76DD" w:rsidP="001C76DD">
      <w:pPr>
        <w:ind w:left="567"/>
        <w:rPr>
          <w:b/>
        </w:rPr>
      </w:pPr>
    </w:p>
    <w:p w:rsidR="001C76DD" w:rsidRPr="008340EF" w:rsidRDefault="001C76DD" w:rsidP="001C76DD">
      <w:pPr>
        <w:pStyle w:val="Heading2"/>
        <w:ind w:left="567"/>
        <w:rPr>
          <w:color w:val="0000FF"/>
        </w:rPr>
      </w:pPr>
      <w:r w:rsidRPr="008340EF">
        <w:t>Test Description Language</w:t>
      </w:r>
      <w:r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1C76DD" w:rsidRPr="008340EF" w:rsidRDefault="001C76DD" w:rsidP="001C76DD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1C76DD" w:rsidRDefault="001C76DD" w:rsidP="001C76DD">
      <w:pPr>
        <w:ind w:left="567"/>
        <w:rPr>
          <w:lang w:eastAsia="en-GB"/>
        </w:rPr>
      </w:pPr>
      <w:r w:rsidRPr="00B704C3">
        <w:rPr>
          <w:lang w:eastAsia="en-GB"/>
        </w:rPr>
        <w:t>Related Contributions:</w:t>
      </w:r>
      <w:r>
        <w:rPr>
          <w:lang w:eastAsia="en-GB"/>
        </w:rPr>
        <w:t xml:space="preserve"> </w:t>
      </w:r>
    </w:p>
    <w:p w:rsidR="001C76DD" w:rsidRDefault="001C76DD" w:rsidP="001C76DD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1C76DD" w:rsidRPr="00435960" w:rsidRDefault="001C76DD" w:rsidP="001C76DD">
      <w:pPr>
        <w:ind w:left="567"/>
      </w:pPr>
    </w:p>
    <w:bookmarkEnd w:id="73"/>
    <w:bookmarkEnd w:id="74"/>
    <w:bookmarkEnd w:id="75"/>
    <w:bookmarkEnd w:id="76"/>
    <w:bookmarkEnd w:id="77"/>
    <w:bookmarkEnd w:id="78"/>
    <w:bookmarkEnd w:id="79"/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464F16" w:rsidRDefault="00464F16" w:rsidP="00464F16">
      <w:pPr>
        <w:pStyle w:val="Heading1"/>
      </w:pPr>
      <w:bookmarkStart w:id="104" w:name="_Toc321832545"/>
      <w:bookmarkStart w:id="105" w:name="_Toc321832606"/>
      <w:bookmarkStart w:id="106" w:name="_Toc321832669"/>
      <w:bookmarkStart w:id="107" w:name="_Toc334703068"/>
      <w:bookmarkStart w:id="108" w:name="_Toc334705574"/>
      <w:bookmarkStart w:id="109" w:name="_Toc334705586"/>
      <w:bookmarkStart w:id="110" w:name="_Toc334705632"/>
      <w:bookmarkStart w:id="111" w:name="_Toc334706550"/>
      <w:bookmarkStart w:id="112" w:name="_Toc334706634"/>
      <w:bookmarkStart w:id="113" w:name="_Toc334709137"/>
      <w:bookmarkStart w:id="114" w:name="_Toc334714572"/>
      <w:bookmarkStart w:id="115" w:name="_Toc334792192"/>
      <w:bookmarkStart w:id="116" w:name="_Toc334792516"/>
      <w:bookmarkStart w:id="117" w:name="_Toc334792815"/>
      <w:bookmarkStart w:id="118" w:name="_Toc334793294"/>
      <w:bookmarkStart w:id="119" w:name="_Toc315121780"/>
      <w:bookmarkStart w:id="120" w:name="_Toc321832530"/>
      <w:bookmarkStart w:id="121" w:name="_Toc321832591"/>
      <w:bookmarkStart w:id="122" w:name="_Toc321832664"/>
      <w:bookmarkStart w:id="123" w:name="_Toc334703063"/>
      <w:bookmarkStart w:id="124" w:name="_Toc334705569"/>
      <w:bookmarkStart w:id="125" w:name="_Toc334705581"/>
      <w:bookmarkStart w:id="126" w:name="_Toc334705627"/>
      <w:bookmarkStart w:id="127" w:name="_Toc334706545"/>
      <w:bookmarkStart w:id="128" w:name="_Toc334706629"/>
      <w:bookmarkStart w:id="129" w:name="_Toc334709132"/>
      <w:bookmarkStart w:id="130" w:name="_Toc334714567"/>
      <w:bookmarkStart w:id="131" w:name="_Toc334792177"/>
      <w:bookmarkStart w:id="132" w:name="_Toc334792501"/>
      <w:bookmarkStart w:id="133" w:name="_Toc334792800"/>
      <w:bookmarkStart w:id="134" w:name="_Toc334793279"/>
      <w:r w:rsidRPr="008F5A6F">
        <w:t>Other ongoing work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464F16" w:rsidRPr="008F7A06" w:rsidRDefault="00464F16" w:rsidP="00464F16">
      <w:pPr>
        <w:pStyle w:val="Heading2"/>
        <w:ind w:left="567" w:hanging="425"/>
      </w:pPr>
      <w:r>
        <w:t>UCAAT</w:t>
      </w:r>
      <w:r w:rsidRPr="008F7A06">
        <w:t xml:space="preserve"> </w:t>
      </w:r>
      <w:r>
        <w:t xml:space="preserve">2016 </w:t>
      </w:r>
      <w:r w:rsidRPr="00BE0306">
        <w:t>[</w:t>
      </w:r>
      <w:r w:rsidRPr="006E3F1E">
        <w:rPr>
          <w:color w:val="0000FF"/>
          <w:sz w:val="20"/>
        </w:rPr>
        <w:t>Tepelmann,</w:t>
      </w:r>
      <w:r w:rsidRPr="00B311AC">
        <w:rPr>
          <w:color w:val="0000FF"/>
          <w:sz w:val="20"/>
        </w:rPr>
        <w:t xml:space="preserve"> Wiles,</w:t>
      </w:r>
      <w:r>
        <w:t xml:space="preserve"> </w:t>
      </w:r>
      <w:r>
        <w:rPr>
          <w:color w:val="0000FF"/>
          <w:sz w:val="20"/>
        </w:rPr>
        <w:t>Chaulot-Talmon</w:t>
      </w:r>
      <w:r w:rsidRPr="00BE0306">
        <w:t>]</w:t>
      </w:r>
    </w:p>
    <w:p w:rsidR="00464F16" w:rsidRDefault="00464F16" w:rsidP="00464F16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 xml:space="preserve">Topics: UCAAT Steering Committee, UCAAT Host package, UCAAT 2016 Status </w:t>
      </w:r>
    </w:p>
    <w:p w:rsidR="00464F16" w:rsidRDefault="00464F16" w:rsidP="00464F16">
      <w:pPr>
        <w:tabs>
          <w:tab w:val="left" w:pos="3503"/>
        </w:tabs>
        <w:ind w:left="567"/>
        <w:rPr>
          <w:lang w:val="en-US" w:eastAsia="en-GB"/>
        </w:rPr>
      </w:pPr>
    </w:p>
    <w:p w:rsidR="00464F16" w:rsidRDefault="00464F16" w:rsidP="00464F16">
      <w:pPr>
        <w:tabs>
          <w:tab w:val="left" w:pos="3503"/>
        </w:tabs>
        <w:ind w:left="567"/>
      </w:pPr>
      <w:r>
        <w:rPr>
          <w:lang w:val="en-US" w:eastAsia="en-GB"/>
        </w:rPr>
        <w:t xml:space="preserve">UCAAT Organizational Change proposal from ETSI Event team </w:t>
      </w:r>
      <w:r>
        <w:rPr>
          <w:lang w:val="en-US" w:eastAsia="en-GB"/>
        </w:rPr>
        <w:br/>
      </w:r>
    </w:p>
    <w:p w:rsidR="00464F16" w:rsidRPr="00B5620E" w:rsidRDefault="00464F16" w:rsidP="00464F16">
      <w:pPr>
        <w:tabs>
          <w:tab w:val="left" w:pos="3503"/>
        </w:tabs>
        <w:ind w:left="567"/>
      </w:pPr>
      <w:r>
        <w:t>UCAAT 2016 Status</w:t>
      </w:r>
    </w:p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35" w:name="_Toc321832540"/>
      <w:bookmarkStart w:id="136" w:name="_Toc321832601"/>
      <w:bookmarkStart w:id="137" w:name="_Toc321832668"/>
      <w:bookmarkStart w:id="138" w:name="_Toc334703067"/>
      <w:bookmarkStart w:id="139" w:name="_Toc334705573"/>
      <w:bookmarkStart w:id="140" w:name="_Toc334705585"/>
      <w:bookmarkStart w:id="141" w:name="_Toc334705631"/>
      <w:bookmarkStart w:id="142" w:name="_Toc334706549"/>
      <w:bookmarkStart w:id="143" w:name="_Toc334706633"/>
      <w:bookmarkStart w:id="144" w:name="_Toc334709136"/>
      <w:bookmarkStart w:id="145" w:name="_Toc334714571"/>
      <w:bookmarkStart w:id="146" w:name="_Toc334792188"/>
      <w:bookmarkStart w:id="147" w:name="_Toc334792512"/>
      <w:bookmarkStart w:id="148" w:name="_Toc334792811"/>
      <w:bookmarkStart w:id="149" w:name="_Toc334793290"/>
      <w:bookmarkStart w:id="150" w:name="_Toc321832526"/>
      <w:bookmarkStart w:id="151" w:name="_Toc321832587"/>
      <w:bookmarkStart w:id="152" w:name="_Toc321832663"/>
      <w:bookmarkStart w:id="153" w:name="_Toc334703062"/>
      <w:bookmarkStart w:id="154" w:name="_Toc334705568"/>
      <w:bookmarkStart w:id="155" w:name="_Toc334705580"/>
      <w:bookmarkStart w:id="156" w:name="_Toc334705626"/>
      <w:bookmarkStart w:id="157" w:name="_Toc334706544"/>
      <w:bookmarkStart w:id="158" w:name="_Toc334706628"/>
      <w:bookmarkStart w:id="159" w:name="_Toc334709131"/>
      <w:bookmarkStart w:id="160" w:name="_Toc334714566"/>
      <w:bookmarkStart w:id="161" w:name="_Toc334792173"/>
      <w:bookmarkStart w:id="162" w:name="_Toc334792497"/>
      <w:bookmarkStart w:id="163" w:name="_Toc334792796"/>
      <w:bookmarkStart w:id="164" w:name="_Toc334793275"/>
      <w:bookmarkStart w:id="165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9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614B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p w:rsidR="0064274A" w:rsidRDefault="0064274A" w:rsidP="0064274A">
      <w:pPr>
        <w:pStyle w:val="Heading1"/>
        <w:ind w:left="426"/>
        <w:rPr>
          <w:b w:val="0"/>
        </w:rPr>
      </w:pPr>
      <w:r w:rsidRPr="008340EF">
        <w:rPr>
          <w:b w:val="0"/>
        </w:rPr>
        <w:t>TTCN-3</w:t>
      </w:r>
    </w:p>
    <w:p w:rsidR="0064274A" w:rsidRPr="00F238D0" w:rsidRDefault="0064274A" w:rsidP="0064274A">
      <w:pPr>
        <w:pStyle w:val="Heading2"/>
        <w:numPr>
          <w:ilvl w:val="1"/>
          <w:numId w:val="26"/>
        </w:numPr>
        <w:adjustRightInd/>
        <w:ind w:left="567"/>
        <w:textAlignment w:val="auto"/>
        <w:rPr>
          <w:lang w:val="en-GB"/>
        </w:rPr>
      </w:pPr>
      <w:r>
        <w:t xml:space="preserve"> TTCN-3 base standards &amp; extensions (STF 514)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[Grabowski]</w:t>
      </w:r>
      <w:r>
        <w:rPr>
          <w:color w:val="0000FF"/>
          <w:sz w:val="20"/>
          <w:szCs w:val="20"/>
        </w:rPr>
        <w:br/>
      </w:r>
      <w:r w:rsidRPr="00F238D0">
        <w:t>STF 514 Progress report template for Milestone A for Approval</w:t>
      </w:r>
      <w:r w:rsidRPr="00F238D0">
        <w:br/>
      </w:r>
    </w:p>
    <w:p w:rsidR="0064274A" w:rsidRDefault="0064274A" w:rsidP="0064274A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TTCN-3 Conformance </w:t>
      </w:r>
    </w:p>
    <w:p w:rsidR="00464F16" w:rsidRPr="00464F16" w:rsidRDefault="00464F16" w:rsidP="00464F16">
      <w:pPr>
        <w:rPr>
          <w:lang w:val="en-US" w:eastAsia="en-GB"/>
        </w:rPr>
      </w:pPr>
      <w:r>
        <w:rPr>
          <w:lang w:val="en-US" w:eastAsia="en-GB"/>
        </w:rPr>
        <w:t>Preparatory Meeting</w:t>
      </w:r>
    </w:p>
    <w:p w:rsidR="0064274A" w:rsidRPr="003F35B3" w:rsidRDefault="0064274A" w:rsidP="0064274A">
      <w:pPr>
        <w:rPr>
          <w:lang w:val="en-US" w:eastAsia="en-GB"/>
        </w:rPr>
      </w:pPr>
    </w:p>
    <w:p w:rsidR="0064274A" w:rsidRDefault="0064274A" w:rsidP="0064274A">
      <w:pPr>
        <w:pStyle w:val="Heading2"/>
        <w:numPr>
          <w:ilvl w:val="1"/>
          <w:numId w:val="26"/>
        </w:numPr>
        <w:adjustRightInd/>
        <w:textAlignment w:val="auto"/>
      </w:pPr>
      <w:r>
        <w:t>TTCN-3 online course STF proposal [</w:t>
      </w:r>
      <w:proofErr w:type="spellStart"/>
      <w:r>
        <w:t>Rethy</w:t>
      </w:r>
      <w:proofErr w:type="spellEnd"/>
      <w:r>
        <w:t>]</w:t>
      </w:r>
    </w:p>
    <w:p w:rsidR="0064274A" w:rsidRDefault="0064274A" w:rsidP="0064274A">
      <w:pPr>
        <w:ind w:firstLine="704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 xml:space="preserve">: Targets for 2016 and review of the draft STF </w:t>
      </w:r>
      <w:proofErr w:type="spellStart"/>
      <w:r>
        <w:rPr>
          <w:lang w:eastAsia="en-GB"/>
        </w:rPr>
        <w:t>ToR</w:t>
      </w:r>
      <w:proofErr w:type="spellEnd"/>
      <w:r>
        <w:rPr>
          <w:lang w:eastAsia="en-GB"/>
        </w:rPr>
        <w:br/>
      </w:r>
      <w:r>
        <w:rPr>
          <w:lang w:eastAsia="en-GB"/>
        </w:rPr>
        <w:br/>
      </w:r>
    </w:p>
    <w:p w:rsidR="0064274A" w:rsidRDefault="0064274A" w:rsidP="0064274A">
      <w:pPr>
        <w:pStyle w:val="Heading2"/>
        <w:numPr>
          <w:ilvl w:val="1"/>
          <w:numId w:val="26"/>
        </w:numPr>
        <w:adjustRightInd/>
        <w:textAlignment w:val="auto"/>
        <w:rPr>
          <w:color w:val="0000FF"/>
          <w:sz w:val="20"/>
          <w:szCs w:val="20"/>
        </w:rPr>
      </w:pPr>
      <w:r>
        <w:t xml:space="preserve">TTCN-3 for WSDL </w:t>
      </w:r>
      <w:r w:rsidR="00464F16">
        <w:rPr>
          <w:color w:val="0000FF"/>
          <w:sz w:val="20"/>
          <w:szCs w:val="20"/>
        </w:rPr>
        <w:t>[</w:t>
      </w:r>
      <w:proofErr w:type="spellStart"/>
      <w:r w:rsidR="00464F16">
        <w:rPr>
          <w:color w:val="0000FF"/>
          <w:sz w:val="20"/>
          <w:szCs w:val="20"/>
        </w:rPr>
        <w:t>Stanc</w:t>
      </w:r>
      <w:r>
        <w:rPr>
          <w:color w:val="0000FF"/>
          <w:sz w:val="20"/>
          <w:szCs w:val="20"/>
        </w:rPr>
        <w:t>a</w:t>
      </w:r>
      <w:proofErr w:type="spellEnd"/>
      <w:r>
        <w:rPr>
          <w:color w:val="0000FF"/>
          <w:sz w:val="20"/>
          <w:szCs w:val="20"/>
        </w:rPr>
        <w:t>]</w:t>
      </w:r>
      <w:r>
        <w:rPr>
          <w:color w:val="0000FF"/>
          <w:sz w:val="20"/>
          <w:szCs w:val="20"/>
        </w:rPr>
        <w:br/>
      </w:r>
    </w:p>
    <w:p w:rsidR="0064274A" w:rsidRPr="003F35B3" w:rsidRDefault="0064274A" w:rsidP="0064274A">
      <w:pPr>
        <w:pStyle w:val="Heading2"/>
      </w:pPr>
      <w:r>
        <w:rPr>
          <w:rFonts w:ascii="Arial" w:hAnsi="Arial" w:cs="Arial"/>
          <w:sz w:val="20"/>
          <w:szCs w:val="20"/>
        </w:rPr>
        <w:t>TTCN-3 Part-11 Using JSON with TTCN-3</w:t>
      </w:r>
    </w:p>
    <w:p w:rsidR="0064274A" w:rsidRDefault="0064274A" w:rsidP="0064274A">
      <w:pPr>
        <w:ind w:left="142"/>
        <w:rPr>
          <w:lang w:eastAsia="en-GB"/>
        </w:rPr>
      </w:pPr>
      <w:r w:rsidRPr="003F35B3">
        <w:rPr>
          <w:lang w:eastAsia="en-GB"/>
        </w:rPr>
        <w:t xml:space="preserve">The first draft of TTCN-3 Part-11 Using JSON with TTCN-3 is uploaded to MTS’s drafts area and also available as </w:t>
      </w:r>
    </w:p>
    <w:p w:rsidR="0064274A" w:rsidRDefault="007230C6" w:rsidP="0064274A">
      <w:pPr>
        <w:ind w:left="142"/>
        <w:rPr>
          <w:lang w:eastAsia="en-GB"/>
        </w:rPr>
      </w:pPr>
      <w:hyperlink r:id="rId8" w:history="1">
        <w:r w:rsidR="0064274A" w:rsidRPr="00C143DE">
          <w:rPr>
            <w:rStyle w:val="Hyperlink"/>
            <w:lang w:eastAsia="en-GB"/>
          </w:rPr>
          <w:t>MTS(16)067016r1</w:t>
        </w:r>
      </w:hyperlink>
    </w:p>
    <w:p w:rsidR="0064274A" w:rsidRDefault="0064274A" w:rsidP="0064274A">
      <w:pPr>
        <w:ind w:left="567"/>
      </w:pPr>
    </w:p>
    <w:p w:rsidR="0064274A" w:rsidRDefault="0064274A" w:rsidP="0064274A">
      <w:pPr>
        <w:pStyle w:val="Heading2"/>
        <w:numPr>
          <w:ilvl w:val="0"/>
          <w:numId w:val="0"/>
        </w:numPr>
        <w:ind w:left="704"/>
      </w:pPr>
      <w:r>
        <w:br/>
      </w:r>
    </w:p>
    <w:p w:rsidR="00464F16" w:rsidRDefault="00464F16" w:rsidP="00464F16">
      <w:pPr>
        <w:pStyle w:val="Heading1"/>
        <w:ind w:left="426"/>
        <w:rPr>
          <w:b w:val="0"/>
        </w:rPr>
      </w:pPr>
      <w:r w:rsidRPr="0064274A">
        <w:rPr>
          <w:sz w:val="28"/>
          <w:szCs w:val="28"/>
        </w:rPr>
        <w:t>WI on API test Methodology</w:t>
      </w:r>
      <w:r>
        <w:t xml:space="preserve"> </w:t>
      </w:r>
      <w:r>
        <w:rPr>
          <w:b w:val="0"/>
          <w:lang w:val="en-GB"/>
        </w:rPr>
        <w:t xml:space="preserve"> </w:t>
      </w:r>
      <w:r>
        <w:t xml:space="preserve"> </w:t>
      </w:r>
      <w:r w:rsidRPr="009E0CAE">
        <w:rPr>
          <w:color w:val="0000FF"/>
        </w:rPr>
        <w:t>[</w:t>
      </w:r>
      <w:r>
        <w:rPr>
          <w:color w:val="0000FF"/>
        </w:rPr>
        <w:t>Wiles</w:t>
      </w:r>
      <w:r w:rsidRPr="009E0CAE">
        <w:rPr>
          <w:color w:val="0000FF"/>
        </w:rPr>
        <w:t>]</w:t>
      </w:r>
    </w:p>
    <w:p w:rsidR="00D54AAF" w:rsidRDefault="00D54AAF" w:rsidP="00D54AAF">
      <w:pPr>
        <w:rPr>
          <w:lang w:val="en-US" w:eastAsia="en-GB"/>
        </w:rPr>
      </w:pPr>
    </w:p>
    <w:p w:rsidR="00464F16" w:rsidRPr="00D54AAF" w:rsidRDefault="00464F16" w:rsidP="00464F16">
      <w:pPr>
        <w:pStyle w:val="Heading1"/>
      </w:pPr>
      <w:r>
        <w:t>UCAAT future</w:t>
      </w:r>
      <w:bookmarkStart w:id="166" w:name="_GoBack"/>
      <w:bookmarkEnd w:id="166"/>
      <w:r>
        <w:t xml:space="preserve"> </w:t>
      </w:r>
      <w:r>
        <w:rPr>
          <w:b w:val="0"/>
          <w:lang w:val="en-GB"/>
        </w:rPr>
        <w:t xml:space="preserve"> </w:t>
      </w:r>
      <w:r>
        <w:t xml:space="preserve"> </w:t>
      </w:r>
      <w:r w:rsidRPr="009E0CAE">
        <w:rPr>
          <w:color w:val="0000FF"/>
        </w:rPr>
        <w:t>[</w:t>
      </w:r>
      <w:r>
        <w:rPr>
          <w:color w:val="0000FF"/>
        </w:rPr>
        <w:t>ALL</w:t>
      </w:r>
      <w:r w:rsidRPr="009E0CAE">
        <w:rPr>
          <w:color w:val="0000FF"/>
        </w:rPr>
        <w:t>]</w:t>
      </w:r>
    </w:p>
    <w:p w:rsidR="00BD442C" w:rsidRPr="00BD442C" w:rsidRDefault="00056F01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C821E2">
        <w:rPr>
          <w:rFonts w:ascii="Calibri" w:hAnsi="Calibri" w:cs="Calibri"/>
          <w:color w:val="000000"/>
          <w:sz w:val="16"/>
          <w:szCs w:val="16"/>
          <w:lang w:eastAsia="en-GB"/>
        </w:rPr>
        <w:lastRenderedPageBreak/>
        <w:br/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BD442C" w:rsidRDefault="00BD442C" w:rsidP="002C595E">
      <w:pPr>
        <w:pStyle w:val="Heading1"/>
        <w:ind w:left="426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r>
        <w:t>STF 2016 Status and Proposal</w:t>
      </w:r>
    </w:p>
    <w:p w:rsidR="00BD442C" w:rsidRDefault="00BD442C" w:rsidP="00BD442C">
      <w:pPr>
        <w:rPr>
          <w:lang w:val="en-US" w:eastAsia="en-GB"/>
        </w:rPr>
      </w:pP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BD442C" w:rsidRP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C6" w:rsidRDefault="007230C6" w:rsidP="00D9435B">
      <w:r>
        <w:separator/>
      </w:r>
    </w:p>
    <w:p w:rsidR="007230C6" w:rsidRDefault="007230C6"/>
    <w:p w:rsidR="007230C6" w:rsidRDefault="007230C6" w:rsidP="00E94886"/>
  </w:endnote>
  <w:endnote w:type="continuationSeparator" w:id="0">
    <w:p w:rsidR="007230C6" w:rsidRDefault="007230C6" w:rsidP="00D9435B">
      <w:r>
        <w:continuationSeparator/>
      </w:r>
    </w:p>
    <w:p w:rsidR="007230C6" w:rsidRDefault="007230C6"/>
    <w:p w:rsidR="007230C6" w:rsidRDefault="007230C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464F16">
      <w:rPr>
        <w:rFonts w:ascii="Arial" w:hAnsi="Arial" w:cs="Arial"/>
        <w:noProof/>
      </w:rPr>
      <w:t>5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64F16" w:rsidRPr="00464F16">
        <w:rPr>
          <w:rFonts w:ascii="Arial" w:hAnsi="Arial" w:cs="Arial"/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C6" w:rsidRDefault="007230C6" w:rsidP="00D9435B">
      <w:r>
        <w:separator/>
      </w:r>
    </w:p>
    <w:p w:rsidR="007230C6" w:rsidRDefault="007230C6"/>
    <w:p w:rsidR="007230C6" w:rsidRDefault="007230C6" w:rsidP="00E94886"/>
  </w:footnote>
  <w:footnote w:type="continuationSeparator" w:id="0">
    <w:p w:rsidR="007230C6" w:rsidRDefault="007230C6" w:rsidP="00D9435B">
      <w:r>
        <w:continuationSeparator/>
      </w:r>
    </w:p>
    <w:p w:rsidR="007230C6" w:rsidRDefault="007230C6"/>
    <w:p w:rsidR="007230C6" w:rsidRDefault="007230C6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16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B5620E">
      <w:rPr>
        <w:rFonts w:ascii="Arial" w:hAnsi="Arial" w:cs="Arial"/>
        <w:b/>
        <w:sz w:val="36"/>
        <w:szCs w:val="36"/>
        <w:shd w:val="clear" w:color="auto" w:fill="DBE5F1"/>
      </w:rPr>
      <w:t>9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614B98">
      <w:rPr>
        <w:rFonts w:ascii="Arial" w:hAnsi="Arial" w:cs="Arial"/>
        <w:b/>
        <w:sz w:val="36"/>
        <w:szCs w:val="36"/>
        <w:shd w:val="clear" w:color="auto" w:fill="DBE5F1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64F16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0C6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3E95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0099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E5E10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6/MTS(16)067016r1_DES_MTS-00201873-11ed471JSONV001__ES_201_873-11_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AC18-663F-4370-BDCB-184A2658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Tepelmann, Dirk</cp:lastModifiedBy>
  <cp:revision>2</cp:revision>
  <cp:lastPrinted>2013-06-05T06:34:00Z</cp:lastPrinted>
  <dcterms:created xsi:type="dcterms:W3CDTF">2016-09-22T14:56:00Z</dcterms:created>
  <dcterms:modified xsi:type="dcterms:W3CDTF">2016-09-22T14:56:00Z</dcterms:modified>
</cp:coreProperties>
</file>