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2D569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721D68">
              <w:rPr>
                <w:rFonts w:ascii="Arial" w:hAnsi="Arial" w:cs="Arial"/>
                <w:color w:val="0000FF"/>
                <w:sz w:val="24"/>
                <w:szCs w:val="24"/>
              </w:rPr>
              <w:t>7</w:t>
            </w:r>
            <w:r w:rsidR="00A946A3">
              <w:rPr>
                <w:rFonts w:ascii="Arial" w:hAnsi="Arial" w:cs="Arial"/>
                <w:color w:val="0000FF"/>
                <w:sz w:val="24"/>
                <w:szCs w:val="24"/>
              </w:rPr>
              <w:t>4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2D5690" w:rsidP="00AA2C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AA2CB9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A946A3">
              <w:rPr>
                <w:rFonts w:ascii="Arial" w:hAnsi="Arial" w:cs="Arial"/>
                <w:sz w:val="16"/>
              </w:rPr>
              <w:t>May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AA2CB9">
              <w:rPr>
                <w:rFonts w:ascii="Arial" w:hAnsi="Arial" w:cs="Arial"/>
                <w:sz w:val="16"/>
              </w:rPr>
              <w:t>8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A2CB9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A2CB9">
              <w:rPr>
                <w:rFonts w:ascii="Arial" w:hAnsi="Arial" w:cs="Arial"/>
              </w:rPr>
              <w:t>8</w:t>
            </w:r>
            <w:r w:rsidR="006664DB">
              <w:rPr>
                <w:rFonts w:ascii="Arial" w:hAnsi="Arial" w:cs="Arial"/>
              </w:rPr>
              <w:t>-</w:t>
            </w:r>
            <w:r w:rsidR="00AA2CB9">
              <w:rPr>
                <w:rFonts w:ascii="Arial" w:hAnsi="Arial" w:cs="Arial"/>
              </w:rPr>
              <w:t>0</w:t>
            </w:r>
            <w:r w:rsidR="00A946A3">
              <w:rPr>
                <w:rFonts w:ascii="Arial" w:hAnsi="Arial" w:cs="Arial"/>
              </w:rPr>
              <w:t>4</w:t>
            </w:r>
            <w:r w:rsidR="002D5690">
              <w:rPr>
                <w:rFonts w:ascii="Arial" w:hAnsi="Arial" w:cs="Arial"/>
              </w:rPr>
              <w:t>-</w:t>
            </w:r>
            <w:r w:rsidR="00A946A3">
              <w:rPr>
                <w:rFonts w:ascii="Arial" w:hAnsi="Arial" w:cs="Arial"/>
              </w:rPr>
              <w:t>26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AA2CB9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D5690">
              <w:rPr>
                <w:rFonts w:ascii="Arial" w:hAnsi="Arial" w:cs="Arial"/>
                <w:b/>
                <w:sz w:val="22"/>
                <w:szCs w:val="24"/>
              </w:rPr>
              <w:t>7</w:t>
            </w:r>
            <w:r w:rsidR="00A946A3">
              <w:rPr>
                <w:rFonts w:ascii="Arial" w:hAnsi="Arial" w:cs="Arial"/>
                <w:b/>
                <w:sz w:val="22"/>
                <w:szCs w:val="24"/>
              </w:rPr>
              <w:t>4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A946A3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>Thursday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2D569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4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B32E5D" w:rsidRPr="00B32E5D" w:rsidRDefault="00B32E5D" w:rsidP="00B32E5D">
      <w:pPr>
        <w:rPr>
          <w:lang w:val="en-US" w:eastAsia="en-GB"/>
        </w:rPr>
      </w:pPr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  <w:r w:rsidR="00721D68">
        <w:br/>
      </w:r>
    </w:p>
    <w:p w:rsidR="00721D68" w:rsidRPr="00721D68" w:rsidRDefault="005611B0" w:rsidP="001D6E6A">
      <w:pPr>
        <w:pStyle w:val="Heading2"/>
        <w:overflowPunct/>
        <w:autoSpaceDE/>
        <w:autoSpaceDN/>
        <w:adjustRightInd/>
        <w:ind w:left="567" w:hanging="425"/>
        <w:textAlignment w:val="auto"/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bookmarkEnd w:id="66"/>
      <w:bookmarkEnd w:id="67"/>
      <w:bookmarkEnd w:id="68"/>
      <w:bookmarkEnd w:id="69"/>
      <w:bookmarkEnd w:id="70"/>
      <w:bookmarkEnd w:id="71"/>
      <w:bookmarkEnd w:id="72"/>
      <w:r w:rsidR="00721D68">
        <w:br/>
      </w:r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</w:t>
      </w:r>
      <w:r w:rsidR="008D7E35">
        <w:t>7</w:t>
      </w:r>
      <w:r w:rsidRPr="00CF62D1">
        <w:t xml:space="preserve"> &amp; beyond</w:t>
      </w:r>
      <w:r>
        <w:t xml:space="preserve"> </w:t>
      </w:r>
    </w:p>
    <w:p w:rsidR="00E01258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</w:t>
      </w:r>
      <w:r w:rsidR="00E01258">
        <w:t>Action list</w:t>
      </w:r>
    </w:p>
    <w:p w:rsidR="00A946A3" w:rsidRPr="00A946A3" w:rsidRDefault="00A946A3" w:rsidP="00A946A3">
      <w:pPr>
        <w:rPr>
          <w:lang w:val="en-US" w:eastAsia="en-GB"/>
        </w:rPr>
      </w:pPr>
    </w:p>
    <w:p w:rsidR="008E68D8" w:rsidRDefault="008E68D8" w:rsidP="0055023D">
      <w:pPr>
        <w:pStyle w:val="Heading1"/>
        <w:rPr>
          <w:rFonts w:asciiTheme="minorHAnsi" w:hAnsiTheme="minorHAnsi"/>
          <w:color w:val="0000FF"/>
          <w:sz w:val="20"/>
          <w:szCs w:val="20"/>
        </w:rPr>
      </w:pPr>
      <w:r>
        <w:t xml:space="preserve"> </w:t>
      </w:r>
      <w:r w:rsidR="0055023D">
        <w:t xml:space="preserve">MTS WG </w:t>
      </w:r>
      <w:r w:rsidR="00A946A3">
        <w:t>TST Report</w:t>
      </w:r>
      <w:r w:rsidR="0055023D">
        <w:t xml:space="preserve"> </w:t>
      </w:r>
      <w:r w:rsidR="0055023D" w:rsidRPr="0055023D">
        <w:rPr>
          <w:rFonts w:asciiTheme="minorHAnsi" w:hAnsiTheme="minorHAnsi"/>
          <w:color w:val="0000FF"/>
          <w:sz w:val="20"/>
          <w:szCs w:val="20"/>
        </w:rPr>
        <w:t>[Rennoch]</w:t>
      </w:r>
    </w:p>
    <w:p w:rsidR="00A946A3" w:rsidRDefault="00BE44C6" w:rsidP="00A946A3">
      <w:pPr>
        <w:rPr>
          <w:lang w:val="en-US" w:eastAsia="en-GB"/>
        </w:rPr>
      </w:pPr>
      <w:hyperlink r:id="rId8" w:tgtFrame="_blank" w:history="1">
        <w:r w:rsidRPr="00BE44C6">
          <w:rPr>
            <w:rStyle w:val="Hyperlink"/>
            <w:rFonts w:ascii="Segoe UI" w:hAnsi="Segoe UI" w:cs="Segoe UI"/>
            <w:bCs/>
            <w:sz w:val="18"/>
            <w:szCs w:val="18"/>
            <w:shd w:val="clear" w:color="auto" w:fill="C5C5C5"/>
          </w:rPr>
          <w:t>MTS(18)074009</w:t>
        </w:r>
      </w:hyperlink>
      <w:r w:rsidRPr="00BE44C6">
        <w:t xml:space="preserve"> </w:t>
      </w:r>
      <w:r>
        <w:rPr>
          <w:lang w:val="en-US" w:eastAsia="en-GB"/>
        </w:rPr>
        <w:t xml:space="preserve">NWI Proposal on </w:t>
      </w:r>
      <w:r w:rsidRPr="00BE44C6">
        <w:rPr>
          <w:lang w:val="en-US" w:eastAsia="en-GB"/>
        </w:rPr>
        <w:t>Test Specification for foundational Security IoT-Profil</w:t>
      </w:r>
    </w:p>
    <w:p w:rsidR="00A946A3" w:rsidRDefault="00A946A3" w:rsidP="00A946A3">
      <w:pPr>
        <w:pStyle w:val="Heading1"/>
      </w:pPr>
      <w:r>
        <w:t>TTCN-3</w:t>
      </w:r>
      <w:bookmarkStart w:id="73" w:name="_GoBack"/>
      <w:bookmarkEnd w:id="73"/>
    </w:p>
    <w:p w:rsidR="00A946A3" w:rsidRDefault="00A946A3" w:rsidP="0055023D">
      <w:pPr>
        <w:overflowPunct/>
        <w:autoSpaceDE/>
        <w:autoSpaceDN/>
        <w:adjustRightInd/>
        <w:textAlignment w:val="auto"/>
        <w:rPr>
          <w:b/>
          <w:u w:val="single"/>
        </w:rPr>
      </w:pPr>
    </w:p>
    <w:p w:rsidR="003B307C" w:rsidRDefault="00A946A3" w:rsidP="00A946A3">
      <w:pPr>
        <w:pStyle w:val="Heading2"/>
        <w:rPr>
          <w:color w:val="0000FF"/>
          <w:sz w:val="20"/>
          <w:szCs w:val="20"/>
        </w:rPr>
      </w:pPr>
      <w:r>
        <w:t xml:space="preserve">TTCN-3 base standards &amp; extensions </w:t>
      </w:r>
      <w:r w:rsidRPr="00D82747">
        <w:rPr>
          <w:color w:val="0000FF"/>
          <w:sz w:val="20"/>
          <w:szCs w:val="20"/>
        </w:rPr>
        <w:t>[Grabowski]</w:t>
      </w:r>
      <w:r w:rsidR="003B307C">
        <w:rPr>
          <w:color w:val="0000FF"/>
          <w:sz w:val="20"/>
          <w:szCs w:val="20"/>
        </w:rPr>
        <w:br/>
      </w:r>
    </w:p>
    <w:p w:rsidR="003B307C" w:rsidRPr="003B307C" w:rsidRDefault="003B307C" w:rsidP="003B307C">
      <w:pPr>
        <w:rPr>
          <w:lang w:val="en-US" w:eastAsia="en-GB"/>
        </w:rPr>
      </w:pPr>
      <w:hyperlink r:id="rId9" w:tgtFrame="_blank" w:history="1">
        <w:r w:rsidRPr="003B307C">
          <w:rPr>
            <w:rStyle w:val="Hyperlink"/>
            <w:rFonts w:ascii="Arial" w:hAnsi="Arial" w:cs="Arial"/>
            <w:bCs/>
            <w:sz w:val="18"/>
            <w:szCs w:val="18"/>
            <w:shd w:val="clear" w:color="auto" w:fill="C5C5C5"/>
          </w:rPr>
          <w:t>MTS(18)074007</w:t>
        </w:r>
      </w:hyperlink>
      <w:r>
        <w:t>: Final report STF533</w:t>
      </w:r>
    </w:p>
    <w:p w:rsidR="003B307C" w:rsidRPr="003B307C" w:rsidRDefault="003B307C" w:rsidP="003B307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eastAsia="en-GB"/>
        </w:rPr>
      </w:pPr>
      <w:r w:rsidRPr="003B307C">
        <w:rPr>
          <w:rFonts w:ascii="Arial" w:hAnsi="Arial" w:cs="Arial"/>
          <w:b/>
          <w:bCs/>
          <w:color w:val="0000FF"/>
          <w:sz w:val="18"/>
          <w:szCs w:val="18"/>
          <w:lang w:eastAsia="en-GB"/>
        </w:rPr>
        <w:br/>
      </w:r>
      <w:hyperlink r:id="rId10" w:tgtFrame="_blank" w:history="1">
        <w:r w:rsidRPr="003B307C">
          <w:rPr>
            <w:rStyle w:val="Hyperlink"/>
            <w:rFonts w:ascii="Arial" w:hAnsi="Arial" w:cs="Arial"/>
            <w:bCs/>
            <w:sz w:val="18"/>
            <w:szCs w:val="18"/>
            <w:shd w:val="clear" w:color="auto" w:fill="C5C5C5"/>
          </w:rPr>
          <w:t>MTS(18)074004</w:t>
        </w:r>
      </w:hyperlink>
      <w:r>
        <w:t xml:space="preserve">: </w:t>
      </w:r>
      <w:r w:rsidRPr="003B307C"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  <w:t>Draft - DES/MTS-203790-00F_ed111 v0.0.3 (ES 203 790 ) "TTCN3ext_OOed111"</w:t>
      </w:r>
    </w:p>
    <w:p w:rsidR="003E4B57" w:rsidRDefault="00A946A3" w:rsidP="00A946A3">
      <w:pPr>
        <w:pStyle w:val="Heading2"/>
      </w:pPr>
      <w:r>
        <w:t>TTCN-3 Conformance (STF 548)</w:t>
      </w:r>
    </w:p>
    <w:p w:rsidR="003B307C" w:rsidRPr="003B307C" w:rsidRDefault="003B307C" w:rsidP="003B307C">
      <w:pPr>
        <w:rPr>
          <w:lang w:val="en-US" w:eastAsia="en-GB"/>
        </w:rPr>
      </w:pPr>
    </w:p>
    <w:p w:rsidR="00A946A3" w:rsidRPr="003B307C" w:rsidRDefault="00E621C2" w:rsidP="00A946A3">
      <w:pPr>
        <w:rPr>
          <w:lang w:val="en-US" w:eastAsia="en-GB"/>
        </w:rPr>
      </w:pPr>
      <w:hyperlink r:id="rId11" w:tgtFrame="_blank" w:history="1">
        <w:r w:rsidR="003B307C" w:rsidRPr="003B307C">
          <w:rPr>
            <w:rStyle w:val="Hyperlink"/>
            <w:rFonts w:ascii="Arial" w:hAnsi="Arial" w:cs="Arial"/>
            <w:bCs/>
            <w:shd w:val="clear" w:color="auto" w:fill="C5C5C5"/>
          </w:rPr>
          <w:t>MTS(18)074008</w:t>
        </w:r>
      </w:hyperlink>
      <w:r w:rsidR="003B307C">
        <w:t xml:space="preserve"> STF 548 Progress Report: </w:t>
      </w:r>
    </w:p>
    <w:p w:rsidR="00A946A3" w:rsidRDefault="00A946A3" w:rsidP="00A946A3">
      <w:pPr>
        <w:pStyle w:val="Heading1"/>
      </w:pPr>
      <w:r>
        <w:t>TDL</w:t>
      </w:r>
    </w:p>
    <w:p w:rsidR="00A946A3" w:rsidRDefault="00A946A3" w:rsidP="00A946A3">
      <w:pPr>
        <w:pStyle w:val="Heading2"/>
      </w:pPr>
      <w:r>
        <w:t>TDL Status</w:t>
      </w:r>
    </w:p>
    <w:p w:rsidR="00A946A3" w:rsidRDefault="00A946A3" w:rsidP="00A946A3">
      <w:pPr>
        <w:pStyle w:val="Heading2"/>
      </w:pPr>
      <w:r>
        <w:t>TOP</w:t>
      </w:r>
    </w:p>
    <w:p w:rsidR="00A946A3" w:rsidRDefault="00A946A3" w:rsidP="00A946A3">
      <w:pPr>
        <w:rPr>
          <w:lang w:val="en-US" w:eastAsia="en-GB"/>
        </w:rPr>
      </w:pPr>
    </w:p>
    <w:p w:rsidR="00A946A3" w:rsidRDefault="00A946A3" w:rsidP="00A946A3">
      <w:pPr>
        <w:pStyle w:val="Heading1"/>
      </w:pPr>
      <w:r>
        <w:t>UCAAT</w:t>
      </w:r>
    </w:p>
    <w:p w:rsidR="00A946A3" w:rsidRDefault="00A946A3" w:rsidP="00A946A3">
      <w:pPr>
        <w:pStyle w:val="Heading2"/>
      </w:pPr>
      <w:r>
        <w:t>Status Report</w:t>
      </w:r>
    </w:p>
    <w:p w:rsidR="00A946A3" w:rsidRDefault="00A946A3" w:rsidP="00A946A3">
      <w:pPr>
        <w:rPr>
          <w:lang w:val="en-US" w:eastAsia="en-GB"/>
        </w:rPr>
      </w:pPr>
    </w:p>
    <w:p w:rsidR="00A946A3" w:rsidRDefault="00A946A3" w:rsidP="00A946A3">
      <w:pPr>
        <w:rPr>
          <w:lang w:val="en-US" w:eastAsia="en-GB"/>
        </w:rPr>
      </w:pPr>
    </w:p>
    <w:p w:rsidR="00A946A3" w:rsidRDefault="00A946A3" w:rsidP="00A946A3">
      <w:pPr>
        <w:rPr>
          <w:lang w:val="en-US" w:eastAsia="en-GB"/>
        </w:rPr>
      </w:pPr>
    </w:p>
    <w:p w:rsidR="00A946A3" w:rsidRDefault="00A946A3" w:rsidP="00A946A3">
      <w:pPr>
        <w:rPr>
          <w:lang w:val="en-US" w:eastAsia="en-GB"/>
        </w:rPr>
      </w:pPr>
    </w:p>
    <w:p w:rsidR="00A946A3" w:rsidRPr="00A946A3" w:rsidRDefault="00A946A3" w:rsidP="00A946A3">
      <w:pPr>
        <w:rPr>
          <w:lang w:val="en-US" w:eastAsia="en-GB"/>
        </w:rPr>
      </w:pPr>
    </w:p>
    <w:p w:rsidR="00483D2B" w:rsidRPr="00DC32BD" w:rsidRDefault="00483D2B" w:rsidP="002C595E">
      <w:pPr>
        <w:pStyle w:val="Heading1"/>
        <w:ind w:left="426"/>
      </w:pPr>
      <w:bookmarkStart w:id="74" w:name="_Toc315121792"/>
      <w:bookmarkStart w:id="75" w:name="_Toc321832550"/>
      <w:bookmarkStart w:id="76" w:name="_Toc321832611"/>
      <w:bookmarkStart w:id="77" w:name="_Toc321832671"/>
      <w:bookmarkStart w:id="78" w:name="_Toc334703070"/>
      <w:bookmarkStart w:id="79" w:name="_Toc329217849"/>
      <w:bookmarkStart w:id="80" w:name="_Toc330198323"/>
      <w:bookmarkStart w:id="81" w:name="_Toc334705575"/>
      <w:bookmarkStart w:id="82" w:name="_Toc334705587"/>
      <w:bookmarkStart w:id="83" w:name="_Toc334705633"/>
      <w:bookmarkStart w:id="84" w:name="_Toc334706551"/>
      <w:bookmarkStart w:id="85" w:name="_Toc334706635"/>
      <w:bookmarkStart w:id="86" w:name="_Toc334709138"/>
      <w:bookmarkStart w:id="87" w:name="_Toc334714573"/>
      <w:bookmarkStart w:id="88" w:name="_Toc334792195"/>
      <w:bookmarkStart w:id="89" w:name="_Toc334792519"/>
      <w:bookmarkStart w:id="90" w:name="_Toc334792818"/>
      <w:bookmarkStart w:id="91" w:name="_Toc334793297"/>
      <w:bookmarkStart w:id="92" w:name="_Toc315121774"/>
      <w:bookmarkStart w:id="93" w:name="_Toc321832531"/>
      <w:bookmarkStart w:id="94" w:name="_Toc321832592"/>
      <w:bookmarkStart w:id="95" w:name="_Toc321832665"/>
      <w:bookmarkStart w:id="96" w:name="_Toc334703064"/>
      <w:bookmarkStart w:id="97" w:name="_Toc334705570"/>
      <w:bookmarkStart w:id="98" w:name="_Toc334705582"/>
      <w:bookmarkStart w:id="99" w:name="_Toc334705628"/>
      <w:bookmarkStart w:id="100" w:name="_Toc334706546"/>
      <w:bookmarkStart w:id="101" w:name="_Toc334706630"/>
      <w:bookmarkStart w:id="102" w:name="_Toc334709133"/>
      <w:bookmarkStart w:id="103" w:name="_Toc334714568"/>
      <w:bookmarkStart w:id="104" w:name="_Toc334792178"/>
      <w:bookmarkStart w:id="105" w:name="_Toc334792502"/>
      <w:bookmarkStart w:id="106" w:name="_Toc334792801"/>
      <w:bookmarkStart w:id="107" w:name="_Toc334793280"/>
      <w:bookmarkStart w:id="108" w:name="_Toc315121781"/>
      <w:r w:rsidRPr="00DC32BD">
        <w:lastRenderedPageBreak/>
        <w:t xml:space="preserve">Meeting wrap </w:t>
      </w:r>
      <w:r w:rsidRPr="00A045ED">
        <w:t>up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09" w:name="_Toc315121791"/>
      <w:bookmarkStart w:id="110" w:name="_Toc321832549"/>
      <w:bookmarkStart w:id="111" w:name="_Toc321832610"/>
      <w:bookmarkStart w:id="112" w:name="_Toc334792196"/>
      <w:bookmarkStart w:id="113" w:name="_Toc334792520"/>
      <w:bookmarkStart w:id="114" w:name="_Toc334792819"/>
      <w:bookmarkStart w:id="115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09"/>
      <w:bookmarkEnd w:id="110"/>
      <w:bookmarkEnd w:id="111"/>
      <w:bookmarkEnd w:id="112"/>
      <w:bookmarkEnd w:id="113"/>
      <w:bookmarkEnd w:id="114"/>
      <w:bookmarkEnd w:id="115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16" w:name="_Toc331408606"/>
      <w:bookmarkStart w:id="117" w:name="_Toc334792197"/>
      <w:bookmarkStart w:id="118" w:name="_Toc334792521"/>
      <w:bookmarkStart w:id="119" w:name="_Toc334792820"/>
      <w:bookmarkStart w:id="120" w:name="_Toc334792863"/>
      <w:bookmarkStart w:id="121" w:name="_Toc334793299"/>
      <w:r w:rsidRPr="00D156D7">
        <w:rPr>
          <w:sz w:val="20"/>
          <w:szCs w:val="20"/>
        </w:rPr>
        <w:t>LS OUT</w:t>
      </w:r>
      <w:bookmarkEnd w:id="116"/>
      <w:bookmarkEnd w:id="117"/>
      <w:bookmarkEnd w:id="118"/>
      <w:bookmarkEnd w:id="119"/>
      <w:bookmarkEnd w:id="120"/>
      <w:bookmarkEnd w:id="121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22" w:name="_Toc331408610"/>
      <w:bookmarkStart w:id="123" w:name="_Toc334792201"/>
      <w:bookmarkStart w:id="124" w:name="_Toc334792525"/>
      <w:bookmarkStart w:id="125" w:name="_Toc334792824"/>
      <w:bookmarkStart w:id="126" w:name="_Toc334792867"/>
      <w:bookmarkStart w:id="127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22"/>
      <w:bookmarkEnd w:id="123"/>
      <w:bookmarkEnd w:id="124"/>
      <w:bookmarkEnd w:id="125"/>
      <w:bookmarkEnd w:id="126"/>
      <w:bookmarkEnd w:id="127"/>
      <w:r w:rsidRPr="00D156D7">
        <w:rPr>
          <w:rFonts w:asciiTheme="minorHAnsi" w:hAnsiTheme="minorHAnsi"/>
        </w:rPr>
        <w:t xml:space="preserve"> </w:t>
      </w:r>
      <w:bookmarkStart w:id="128" w:name="_Toc334792202"/>
      <w:bookmarkStart w:id="129" w:name="_Toc334792526"/>
      <w:bookmarkStart w:id="130" w:name="_Toc334792825"/>
      <w:bookmarkStart w:id="131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132" w:name="_Toc334792203"/>
      <w:bookmarkStart w:id="133" w:name="_Toc334792527"/>
      <w:bookmarkStart w:id="134" w:name="_Toc334792826"/>
      <w:bookmarkStart w:id="135" w:name="_Toc334793305"/>
      <w:bookmarkStart w:id="136" w:name="_Toc315121793"/>
      <w:bookmarkEnd w:id="128"/>
      <w:bookmarkEnd w:id="129"/>
      <w:bookmarkEnd w:id="130"/>
      <w:bookmarkEnd w:id="131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132"/>
      <w:bookmarkEnd w:id="133"/>
      <w:bookmarkEnd w:id="134"/>
      <w:bookmarkEnd w:id="135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36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12"/>
      <w:footerReference w:type="default" r:id="rId13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1C2" w:rsidRDefault="00E621C2" w:rsidP="00D9435B">
      <w:r>
        <w:separator/>
      </w:r>
    </w:p>
    <w:p w:rsidR="00E621C2" w:rsidRDefault="00E621C2"/>
    <w:p w:rsidR="00E621C2" w:rsidRDefault="00E621C2" w:rsidP="00E94886"/>
  </w:endnote>
  <w:endnote w:type="continuationSeparator" w:id="0">
    <w:p w:rsidR="00E621C2" w:rsidRDefault="00E621C2" w:rsidP="00D9435B">
      <w:r>
        <w:continuationSeparator/>
      </w:r>
    </w:p>
    <w:p w:rsidR="00E621C2" w:rsidRDefault="00E621C2"/>
    <w:p w:rsidR="00E621C2" w:rsidRDefault="00E621C2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6A" w:rsidRPr="00011798" w:rsidRDefault="001D6E6A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BE44C6">
      <w:rPr>
        <w:rFonts w:ascii="Arial" w:hAnsi="Arial" w:cs="Arial"/>
        <w:noProof/>
      </w:rPr>
      <w:t>3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E621C2">
      <w:fldChar w:fldCharType="begin"/>
    </w:r>
    <w:r w:rsidR="00E621C2">
      <w:instrText xml:space="preserve"> NUMPAGES   \* MERGEFORMAT </w:instrText>
    </w:r>
    <w:r w:rsidR="00E621C2">
      <w:fldChar w:fldCharType="separate"/>
    </w:r>
    <w:r w:rsidR="00BE44C6" w:rsidRPr="00BE44C6">
      <w:rPr>
        <w:rFonts w:ascii="Arial" w:hAnsi="Arial" w:cs="Arial"/>
        <w:noProof/>
      </w:rPr>
      <w:t>3</w:t>
    </w:r>
    <w:r w:rsidR="00E621C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1C2" w:rsidRDefault="00E621C2" w:rsidP="00D9435B">
      <w:r>
        <w:separator/>
      </w:r>
    </w:p>
    <w:p w:rsidR="00E621C2" w:rsidRDefault="00E621C2"/>
    <w:p w:rsidR="00E621C2" w:rsidRDefault="00E621C2" w:rsidP="00E94886"/>
  </w:footnote>
  <w:footnote w:type="continuationSeparator" w:id="0">
    <w:p w:rsidR="00E621C2" w:rsidRDefault="00E621C2" w:rsidP="00D9435B">
      <w:r>
        <w:continuationSeparator/>
      </w:r>
    </w:p>
    <w:p w:rsidR="00E621C2" w:rsidRDefault="00E621C2"/>
    <w:p w:rsidR="00E621C2" w:rsidRDefault="00E621C2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6A" w:rsidRDefault="001D6E6A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 w:rsidR="00A946A3">
      <w:rPr>
        <w:rFonts w:ascii="Arial" w:hAnsi="Arial" w:cs="Arial"/>
        <w:b/>
        <w:sz w:val="36"/>
        <w:szCs w:val="36"/>
        <w:shd w:val="clear" w:color="auto" w:fill="DBE5F1"/>
      </w:rPr>
      <w:t>MTS(18)074</w:t>
    </w:r>
    <w:r>
      <w:rPr>
        <w:rFonts w:ascii="Arial" w:hAnsi="Arial" w:cs="Arial"/>
        <w:b/>
        <w:sz w:val="36"/>
        <w:szCs w:val="36"/>
        <w:shd w:val="clear" w:color="auto" w:fill="DBE5F1"/>
      </w:rPr>
      <w:t>_</w:t>
    </w:r>
    <w:r w:rsidR="00A946A3">
      <w:rPr>
        <w:rFonts w:ascii="Arial" w:hAnsi="Arial" w:cs="Arial"/>
        <w:b/>
        <w:sz w:val="36"/>
        <w:szCs w:val="36"/>
        <w:shd w:val="clear" w:color="auto" w:fill="DBE5F1"/>
      </w:rPr>
      <w:t>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25pt;height:32.2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D0B2F"/>
    <w:multiLevelType w:val="hybridMultilevel"/>
    <w:tmpl w:val="C51EAF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6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25"/>
  </w:num>
  <w:num w:numId="8">
    <w:abstractNumId w:val="21"/>
  </w:num>
  <w:num w:numId="9">
    <w:abstractNumId w:val="28"/>
  </w:num>
  <w:num w:numId="10">
    <w:abstractNumId w:val="22"/>
  </w:num>
  <w:num w:numId="11">
    <w:abstractNumId w:val="26"/>
  </w:num>
  <w:num w:numId="12">
    <w:abstractNumId w:val="5"/>
  </w:num>
  <w:num w:numId="13">
    <w:abstractNumId w:val="9"/>
  </w:num>
  <w:num w:numId="14">
    <w:abstractNumId w:val="18"/>
  </w:num>
  <w:num w:numId="15">
    <w:abstractNumId w:val="20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5"/>
  </w:num>
  <w:num w:numId="21">
    <w:abstractNumId w:val="17"/>
  </w:num>
  <w:num w:numId="22">
    <w:abstractNumId w:val="0"/>
  </w:num>
  <w:num w:numId="23">
    <w:abstractNumId w:val="2"/>
  </w:num>
  <w:num w:numId="24">
    <w:abstractNumId w:val="3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6B0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12D7"/>
    <w:rsid w:val="00113F40"/>
    <w:rsid w:val="00115DE8"/>
    <w:rsid w:val="00117B46"/>
    <w:rsid w:val="00126470"/>
    <w:rsid w:val="001317B2"/>
    <w:rsid w:val="00132EAF"/>
    <w:rsid w:val="00134596"/>
    <w:rsid w:val="00134B32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D6E6A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37553"/>
    <w:rsid w:val="00237F25"/>
    <w:rsid w:val="0024441A"/>
    <w:rsid w:val="00246B7B"/>
    <w:rsid w:val="0025001A"/>
    <w:rsid w:val="00250329"/>
    <w:rsid w:val="002506DF"/>
    <w:rsid w:val="00253E1C"/>
    <w:rsid w:val="002552E4"/>
    <w:rsid w:val="00261F3C"/>
    <w:rsid w:val="00265F42"/>
    <w:rsid w:val="00266FB4"/>
    <w:rsid w:val="002676F5"/>
    <w:rsid w:val="002721A8"/>
    <w:rsid w:val="00275A2E"/>
    <w:rsid w:val="0027759E"/>
    <w:rsid w:val="0028068F"/>
    <w:rsid w:val="00282A67"/>
    <w:rsid w:val="002A0449"/>
    <w:rsid w:val="002A1C63"/>
    <w:rsid w:val="002A3728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5690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80736"/>
    <w:rsid w:val="00380E33"/>
    <w:rsid w:val="00382D67"/>
    <w:rsid w:val="003848FD"/>
    <w:rsid w:val="003879D9"/>
    <w:rsid w:val="0039244F"/>
    <w:rsid w:val="00395FCE"/>
    <w:rsid w:val="003965A2"/>
    <w:rsid w:val="003A3EDA"/>
    <w:rsid w:val="003A4F12"/>
    <w:rsid w:val="003B2CF0"/>
    <w:rsid w:val="003B307C"/>
    <w:rsid w:val="003B5323"/>
    <w:rsid w:val="003B537C"/>
    <w:rsid w:val="003B5934"/>
    <w:rsid w:val="003B6C32"/>
    <w:rsid w:val="003C249F"/>
    <w:rsid w:val="003C4704"/>
    <w:rsid w:val="003C7E06"/>
    <w:rsid w:val="003D1305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1D05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4ADF"/>
    <w:rsid w:val="0052585E"/>
    <w:rsid w:val="0053638D"/>
    <w:rsid w:val="00537F53"/>
    <w:rsid w:val="005413A3"/>
    <w:rsid w:val="005429FF"/>
    <w:rsid w:val="00543F5A"/>
    <w:rsid w:val="0055023D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03"/>
    <w:rsid w:val="00584D89"/>
    <w:rsid w:val="005878FB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28AF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3AE9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D5DD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3262"/>
    <w:rsid w:val="00827C3F"/>
    <w:rsid w:val="00832A9E"/>
    <w:rsid w:val="00832E39"/>
    <w:rsid w:val="0083399D"/>
    <w:rsid w:val="00834EB3"/>
    <w:rsid w:val="008374B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D7E35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32FF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946A3"/>
    <w:rsid w:val="00AA2CB9"/>
    <w:rsid w:val="00AA7BE4"/>
    <w:rsid w:val="00AC2232"/>
    <w:rsid w:val="00AC2983"/>
    <w:rsid w:val="00AC2A38"/>
    <w:rsid w:val="00AC7A73"/>
    <w:rsid w:val="00AD3E95"/>
    <w:rsid w:val="00AD57B4"/>
    <w:rsid w:val="00AE0F45"/>
    <w:rsid w:val="00AE0FBC"/>
    <w:rsid w:val="00AE225C"/>
    <w:rsid w:val="00AE2665"/>
    <w:rsid w:val="00AE76E0"/>
    <w:rsid w:val="00AF13A9"/>
    <w:rsid w:val="00AF42CE"/>
    <w:rsid w:val="00AF5925"/>
    <w:rsid w:val="00AF61F0"/>
    <w:rsid w:val="00AF7036"/>
    <w:rsid w:val="00AF70DE"/>
    <w:rsid w:val="00B179A5"/>
    <w:rsid w:val="00B179D6"/>
    <w:rsid w:val="00B22603"/>
    <w:rsid w:val="00B2264C"/>
    <w:rsid w:val="00B311AC"/>
    <w:rsid w:val="00B32E5D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3A26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D475F"/>
    <w:rsid w:val="00BE0306"/>
    <w:rsid w:val="00BE12B9"/>
    <w:rsid w:val="00BE44C6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01FA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F62D1"/>
    <w:rsid w:val="00D060F3"/>
    <w:rsid w:val="00D11314"/>
    <w:rsid w:val="00D156D7"/>
    <w:rsid w:val="00D15A70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4665A"/>
    <w:rsid w:val="00D54AAF"/>
    <w:rsid w:val="00D56718"/>
    <w:rsid w:val="00D56DA5"/>
    <w:rsid w:val="00D629C3"/>
    <w:rsid w:val="00D643D6"/>
    <w:rsid w:val="00D670FB"/>
    <w:rsid w:val="00D75D67"/>
    <w:rsid w:val="00D8274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2F7C"/>
    <w:rsid w:val="00DB3792"/>
    <w:rsid w:val="00DC0D50"/>
    <w:rsid w:val="00DC32BD"/>
    <w:rsid w:val="00DD347F"/>
    <w:rsid w:val="00DE0933"/>
    <w:rsid w:val="00DE2612"/>
    <w:rsid w:val="00DE28F7"/>
    <w:rsid w:val="00DE2DAC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5544"/>
    <w:rsid w:val="00E61895"/>
    <w:rsid w:val="00E621C2"/>
    <w:rsid w:val="00E65780"/>
    <w:rsid w:val="00E73139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38D0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003F"/>
    <w:rsid w:val="00F83BB0"/>
    <w:rsid w:val="00F8457D"/>
    <w:rsid w:val="00F85438"/>
    <w:rsid w:val="00F86E8C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0F8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98D9F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18/MTS(18)074009_Test_Specification_for_foundational_Security_IoT-Profile.zi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18/MTS(18)074008_STF548_Progress_report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box.etsi.org/MTS/MTS/05-CONTRIBUTIONS/2018/MTS(18)074004_Draft_-_DES_MTS-203790-00F_ed111__v0_0_3__ES_203_790____TTCN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18/MTS(18)074007_Final_Report_of_STF_53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B44D-7670-4124-AF4B-7ECF8632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2018-05-23T13:25:00Z</dcterms:created>
  <dcterms:modified xsi:type="dcterms:W3CDTF">2018-05-23T13:25:00Z</dcterms:modified>
</cp:coreProperties>
</file>