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le"/>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8"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Header"/>
              <w:ind w:right="-568"/>
              <w:jc w:val="center"/>
            </w:pPr>
            <w:r w:rsidRPr="009F2D55">
              <w:t xml:space="preserve">ToR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0472929" w:rsidR="005C5AC0" w:rsidRPr="00A5599B" w:rsidRDefault="00846054" w:rsidP="005C5AC0">
      <w:pPr>
        <w:pStyle w:val="ZT"/>
      </w:pPr>
      <w:r>
        <w:t>TTF</w:t>
      </w:r>
      <w:r w:rsidR="005C5AC0" w:rsidRPr="00A5599B">
        <w:t xml:space="preserve"> XXX (</w:t>
      </w:r>
      <w:r w:rsidR="0093472E" w:rsidRPr="0093472E">
        <w:t>Ref. Body 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DE0BF60" w:rsidR="00DD231E" w:rsidRDefault="0093472E" w:rsidP="00DD231E">
            <w:r>
              <w:t>Ref. Body</w:t>
            </w:r>
            <w:r w:rsidR="00DD231E">
              <w:t xml:space="preserve"> XXX</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F5D2D63" w14:textId="5CC04520" w:rsidR="003F7DE2" w:rsidRDefault="003F7DE2" w:rsidP="003F7DE2">
      <w:pPr>
        <w:pStyle w:val="Guideline"/>
      </w:pPr>
      <w:r>
        <w:t>This section must present in clear and concise terms the business case to support the request for funding.</w:t>
      </w:r>
    </w:p>
    <w:p w14:paraId="64A32A85" w14:textId="77777777" w:rsidR="003F7DE2" w:rsidRDefault="003F7DE2" w:rsidP="003F7DE2">
      <w:pPr>
        <w:pStyle w:val="Guideline"/>
      </w:pPr>
    </w:p>
    <w:p w14:paraId="62A31E62" w14:textId="3996BBAA" w:rsidR="003F7DE2" w:rsidRDefault="003F7DE2" w:rsidP="003F7DE2">
      <w:pPr>
        <w:pStyle w:val="Guideline"/>
      </w:pPr>
      <w:r>
        <w:t xml:space="preserve">This section must allow </w:t>
      </w:r>
      <w:r w:rsidRPr="003E364C">
        <w:rPr>
          <w:u w:val="single"/>
        </w:rPr>
        <w:t>non-experts</w:t>
      </w:r>
      <w:r>
        <w:t xml:space="preserve"> understand the background and the objective of the </w:t>
      </w:r>
      <w:r w:rsidR="0093472E">
        <w:t>TTF</w:t>
      </w:r>
      <w:r>
        <w:t xml:space="preserve">, the interest for ETSI Members for the standards to be produced and the reason why an </w:t>
      </w:r>
      <w:r w:rsidR="0093472E">
        <w:t>TTF</w:t>
      </w:r>
      <w:r>
        <w:t xml:space="preserve"> is required to achieve these objectives.</w:t>
      </w:r>
    </w:p>
    <w:p w14:paraId="26D18F49" w14:textId="77777777" w:rsidR="003F7DE2" w:rsidRDefault="003F7DE2" w:rsidP="003F7DE2">
      <w:pPr>
        <w:pStyle w:val="Guideline"/>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5ADE2861" w14:textId="50B34BF3" w:rsidR="002B33FB" w:rsidRPr="00844005" w:rsidRDefault="002B33FB" w:rsidP="001D349B">
      <w:r w:rsidRPr="00844005">
        <w:t>The TTCN</w:t>
      </w:r>
      <w:r w:rsidRPr="00844005">
        <w:noBreakHyphen/>
        <w:t>3 testing language has intensively been developed by ETSI during the last 15 years and by today it has become a significantly important testing technology in different domains, used by standardization bodies as well as by EU research projects and open source initiatives, and reaching very high deployment at various ETSI member companies</w:t>
      </w:r>
      <w:r w:rsidR="00844005">
        <w:t>.</w:t>
      </w:r>
      <w:r w:rsidR="00844005">
        <w:br/>
      </w:r>
      <w:r w:rsidR="00844005" w:rsidRPr="00844005">
        <w:t>The language is also endorsed by ITU-T as the Z.16x and Z.17x Recommendation series.</w:t>
      </w:r>
      <w:r w:rsidRPr="00844005">
        <w:br/>
        <w:t>(</w:t>
      </w:r>
      <w:r w:rsidR="001D349B" w:rsidRPr="00844005">
        <w:t xml:space="preserve">see more details at </w:t>
      </w:r>
      <w:hyperlink r:id="rId9" w:history="1">
        <w:r w:rsidR="001D349B" w:rsidRPr="00844005">
          <w:rPr>
            <w:rStyle w:val="Hyperlink"/>
          </w:rPr>
          <w:t>http://www.ttcn-3.org/index.php/about/references/applicatio-domains</w:t>
        </w:r>
      </w:hyperlink>
      <w:r w:rsidRPr="00844005">
        <w:t>)</w:t>
      </w:r>
      <w:r w:rsidR="001D349B" w:rsidRPr="00844005">
        <w:t>.</w:t>
      </w:r>
    </w:p>
    <w:p w14:paraId="382BB5A1" w14:textId="77777777" w:rsidR="002B33FB" w:rsidRPr="00844005" w:rsidRDefault="002B33FB" w:rsidP="002B33FB"/>
    <w:p w14:paraId="2FE4B7F4" w14:textId="41CA60C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955F0" w:rsidRPr="00844005">
        <w:br/>
        <w:t xml:space="preserve">(see more details at </w:t>
      </w:r>
      <w:hyperlink r:id="rId10" w:history="1">
        <w:r w:rsidR="00B955F0" w:rsidRPr="00844005">
          <w:rPr>
            <w:color w:val="0000FF"/>
            <w:u w:val="single"/>
          </w:rPr>
          <w:t>http://www.ttcn-3.org/index.php/ab</w:t>
        </w:r>
        <w:r w:rsidR="00B955F0" w:rsidRPr="00844005">
          <w:rPr>
            <w:color w:val="0000FF"/>
            <w:u w:val="single"/>
          </w:rPr>
          <w:t>o</w:t>
        </w:r>
        <w:r w:rsidR="00B955F0" w:rsidRPr="00844005">
          <w:rPr>
            <w:color w:val="0000FF"/>
            <w:u w:val="single"/>
          </w:rPr>
          <w:t>ut/refer</w:t>
        </w:r>
        <w:r w:rsidR="00B955F0" w:rsidRPr="00844005">
          <w:rPr>
            <w:color w:val="0000FF"/>
            <w:u w:val="single"/>
          </w:rPr>
          <w:t>e</w:t>
        </w:r>
        <w:r w:rsidR="00B955F0" w:rsidRPr="00844005">
          <w:rPr>
            <w:color w:val="0000FF"/>
            <w:u w:val="single"/>
          </w:rPr>
          <w:t>nces</w:t>
        </w:r>
      </w:hyperlink>
      <w:r w:rsidR="00B955F0" w:rsidRPr="00844005">
        <w:t>)</w:t>
      </w:r>
      <w:r w:rsidR="007766AC" w:rsidRPr="00844005">
        <w:t>.</w:t>
      </w:r>
    </w:p>
    <w:p w14:paraId="5CF2AA11" w14:textId="77777777" w:rsidR="002B33FB" w:rsidRDefault="002B33FB" w:rsidP="002B33FB">
      <w:pPr>
        <w:rPr>
          <w:highlight w:val="cyan"/>
        </w:rPr>
      </w:pPr>
    </w:p>
    <w:p w14:paraId="63DDA1F8" w14:textId="1770A9A4" w:rsidR="002B33FB" w:rsidRPr="008C44B3" w:rsidRDefault="007766AC" w:rsidP="002B33FB">
      <w:pPr>
        <w:rPr>
          <w:rFonts w:cs="Arial"/>
        </w:rPr>
      </w:pPr>
      <w:r w:rsidRPr="00D95853">
        <w:t xml:space="preserve">In </w:t>
      </w:r>
      <w:r w:rsidRPr="00D95853">
        <w:rPr>
          <w:b/>
        </w:rPr>
        <w:t>research</w:t>
      </w:r>
      <w:r w:rsidRPr="00D95853">
        <w:t xml:space="preserve"> at least the </w:t>
      </w:r>
      <w:r w:rsidRPr="00D95853">
        <w:rPr>
          <w:lang w:val="en-US"/>
        </w:rPr>
        <w:t xml:space="preserve">EU projects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are using TTCN</w:t>
      </w:r>
      <w:r w:rsidRPr="00D95853">
        <w:rPr>
          <w:lang w:val="en-US"/>
        </w:rPr>
        <w:noBreakHyphen/>
        <w:t>3</w:t>
      </w:r>
      <w:r w:rsidR="002A6EDF" w:rsidRPr="00D95853">
        <w:rPr>
          <w:lang w:val="en-US"/>
        </w:rPr>
        <w:t>, while</w:t>
      </w:r>
      <w:r w:rsidRPr="00D95853">
        <w:rPr>
          <w:lang w:val="en-US"/>
        </w:rPr>
        <w:t xml:space="preserve"> </w:t>
      </w:r>
      <w:r w:rsidR="002A6EDF" w:rsidRPr="00D95853">
        <w:rPr>
          <w:lang w:val="en-US"/>
        </w:rPr>
        <w:t xml:space="preserve">in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r w:rsidRPr="00D95853">
        <w:rPr>
          <w:b/>
          <w:lang w:val="en-US"/>
        </w:rPr>
        <w:t>IoT</w:t>
      </w:r>
      <w:r w:rsidR="002A6EDF" w:rsidRPr="00D95853">
        <w:rPr>
          <w:b/>
          <w:lang w:val="en-US"/>
        </w:rPr>
        <w:t>-Testware</w:t>
      </w:r>
      <w:r w:rsidR="002A6EDF" w:rsidRPr="00D95853">
        <w:rPr>
          <w:lang w:val="en-US"/>
        </w:rPr>
        <w:t xml:space="preserve"> (</w:t>
      </w:r>
      <w:hyperlink r:id="rId11" w:history="1">
        <w:r w:rsidR="002A6EDF" w:rsidRPr="00D95853">
          <w:rPr>
            <w:rStyle w:val="Hyperlink"/>
          </w:rPr>
          <w:t>https://projects.eclipse.org/projects/technology.iottestware</w:t>
        </w:r>
      </w:hyperlink>
      <w:r w:rsidR="002A6EDF" w:rsidRPr="00D95853">
        <w:rPr>
          <w:lang w:val="en-US"/>
        </w:rPr>
        <w:t xml:space="preserve">) is using the language to develop conformance and security test suites for IoT protocols with major contribution from Fraunhofer FOKUS and </w:t>
      </w:r>
      <w:proofErr w:type="spellStart"/>
      <w:r w:rsidR="002A6EDF" w:rsidRPr="00D95853">
        <w:rPr>
          <w:lang w:val="en-US"/>
        </w:rPr>
        <w:t>relayr</w:t>
      </w:r>
      <w:proofErr w:type="spellEnd"/>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2"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133E1" w:rsidRPr="00B133E1">
        <w:rPr>
          <w:lang w:val="en-US"/>
        </w:rPr>
        <w:t xml:space="preserve">It is used by several ETSI member and non-member companies as an essential test enabler language (e.g.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76938459"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TTCN-3</w:t>
      </w:r>
      <w:r w:rsidR="008C44B3" w:rsidRPr="008C44B3">
        <w:rPr>
          <w:lang w:val="en-US"/>
        </w:rPr>
        <w:t xml:space="preserve">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to </w:t>
      </w:r>
      <w:r w:rsidR="008C44B3">
        <w:rPr>
          <w:lang w:val="en-US"/>
        </w:rPr>
        <w:t xml:space="preserve">really </w:t>
      </w:r>
      <w:r w:rsidR="002B33FB" w:rsidRPr="008C44B3">
        <w:rPr>
          <w:lang w:val="en-US"/>
        </w:rPr>
        <w:t xml:space="preserve">keep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27ECD543" w14:textId="7011660B" w:rsidR="002B33FB" w:rsidRDefault="002B33FB" w:rsidP="002B33FB">
      <w:pPr>
        <w:rPr>
          <w:highlight w:val="green"/>
        </w:rPr>
      </w:pPr>
      <w:r w:rsidRPr="007D4D04">
        <w:rPr>
          <w:highlight w:val="green"/>
        </w:rPr>
        <w:t xml:space="preserve">Significant number of TTCN-3 test toolsets are available on the market (at least 7 commercial tools and 2 internal tools of industrial ETSI members) that also indicate the high interest and use of the language. Due to serving several domains and application areas, the TTCN-3 standards which provide the foundation for this testing technology, are quite complex and encompass multiple hundreds of pages. Part 1 of the TTCN-3 series, the TTCN-3 core language, alone is estimated to contain on the order of 5,000 requirements. Over the past 10 years the TTCN-3 community has repeatedly requested by for </w:t>
      </w:r>
      <w:proofErr w:type="gramStart"/>
      <w:r w:rsidRPr="007D4D04">
        <w:rPr>
          <w:highlight w:val="green"/>
        </w:rPr>
        <w:t>some kind of assurance</w:t>
      </w:r>
      <w:proofErr w:type="gramEnd"/>
      <w:r w:rsidRPr="007D4D04">
        <w:rPr>
          <w:highlight w:val="green"/>
        </w:rPr>
        <w:t xml:space="preserve"> that tools conform to TTCN-3 standards. A standardized testing language such as TTCN-3 should lead by example, i.e., tools that check conformance of systems to standards should also be tested for their compliance to standard.</w:t>
      </w:r>
    </w:p>
    <w:p w14:paraId="3D52855D" w14:textId="130C4A5F" w:rsidR="002B33FB" w:rsidRDefault="002A6EDF" w:rsidP="002B33FB">
      <w:r w:rsidRPr="008C44B3">
        <w:rPr>
          <w:highlight w:val="green"/>
        </w:rPr>
        <w:t xml:space="preserve">oneM2M conformance test tool based on </w:t>
      </w:r>
      <w:proofErr w:type="gramStart"/>
      <w:r w:rsidRPr="008C44B3">
        <w:rPr>
          <w:highlight w:val="green"/>
        </w:rPr>
        <w:t>Titan ,</w:t>
      </w:r>
      <w:proofErr w:type="gramEnd"/>
      <w:r w:rsidRPr="008C44B3">
        <w:rPr>
          <w:highlight w:val="green"/>
        </w:rPr>
        <w:t xml:space="preserve"> driven by KETI and a number of Korean universities</w:t>
      </w:r>
    </w:p>
    <w:p w14:paraId="598DCCAB" w14:textId="77777777" w:rsidR="002A6EDF" w:rsidRPr="001758D5" w:rsidRDefault="002A6EDF" w:rsidP="002B33FB">
      <w:pPr>
        <w:rPr>
          <w:i/>
          <w:highlight w:val="cyan"/>
          <w:lang w:val="en-US"/>
        </w:rPr>
      </w:pPr>
    </w:p>
    <w:p w14:paraId="1FFD60A7" w14:textId="66A54167" w:rsidR="008C44B3" w:rsidRPr="008C44B3" w:rsidRDefault="002B33FB" w:rsidP="008C44B3">
      <w:r w:rsidRPr="008C44B3">
        <w:rPr>
          <w:rFonts w:cs="Arial"/>
          <w:b/>
        </w:rPr>
        <w:t>TC MTS</w:t>
      </w:r>
      <w:r w:rsidRPr="008C44B3">
        <w:rPr>
          <w:rFonts w:cs="Arial"/>
        </w:rPr>
        <w:t xml:space="preserve"> is committed to keep the language </w:t>
      </w:r>
      <w:r w:rsidRPr="008C44B3">
        <w:rPr>
          <w:rFonts w:cs="Arial"/>
          <w:b/>
        </w:rPr>
        <w:t>powerful</w:t>
      </w:r>
      <w:r w:rsidR="008C44B3" w:rsidRPr="008C44B3">
        <w:rPr>
          <w:rFonts w:cs="Arial"/>
        </w:rPr>
        <w:t>, still</w:t>
      </w:r>
      <w:r w:rsidRPr="008C44B3">
        <w:rPr>
          <w:rFonts w:cs="Arial"/>
        </w:rPr>
        <w:t xml:space="preserve"> </w:t>
      </w:r>
      <w:r w:rsidRPr="008C44B3">
        <w:rPr>
          <w:rFonts w:cs="Arial"/>
          <w:b/>
        </w:rPr>
        <w:t>easy-to-use</w:t>
      </w:r>
      <w:r w:rsidRPr="008C44B3">
        <w:rPr>
          <w:rFonts w:cs="Arial"/>
        </w:rPr>
        <w:t xml:space="preserve">, </w:t>
      </w:r>
      <w:r w:rsidRPr="008C44B3">
        <w:rPr>
          <w:rFonts w:cs="Arial"/>
          <w:b/>
        </w:rPr>
        <w:t>up-to-date</w:t>
      </w:r>
      <w:r w:rsidRPr="008C44B3">
        <w:rPr>
          <w:rFonts w:cs="Arial"/>
        </w:rPr>
        <w:t xml:space="preserve">, well </w:t>
      </w:r>
      <w:r w:rsidRPr="008C44B3">
        <w:rPr>
          <w:rFonts w:cs="Arial"/>
          <w:b/>
        </w:rPr>
        <w:t>maintained</w:t>
      </w:r>
      <w:r w:rsidRPr="008C44B3">
        <w:rPr>
          <w:rFonts w:cs="Arial"/>
        </w:rPr>
        <w:t xml:space="preserve"> and following the changing </w:t>
      </w:r>
      <w:r w:rsidRPr="008C44B3">
        <w:rPr>
          <w:rFonts w:cs="Arial"/>
          <w:b/>
        </w:rPr>
        <w:t>user needs</w:t>
      </w:r>
      <w:r w:rsidRPr="008C44B3">
        <w:rPr>
          <w:rFonts w:cs="Arial"/>
        </w:rPr>
        <w:t>.</w:t>
      </w:r>
      <w:r w:rsidR="008C44B3" w:rsidRPr="008C44B3">
        <w:rPr>
          <w:rFonts w:cs="Arial"/>
        </w:rPr>
        <w:t xml:space="preserve"> </w:t>
      </w:r>
      <w:r w:rsidR="008C44B3" w:rsidRPr="008C44B3">
        <w:t>The series of TTCN</w:t>
      </w:r>
      <w:r w:rsidR="008C44B3" w:rsidRPr="008C44B3">
        <w:rPr>
          <w:lang w:val="hu-HU"/>
        </w:rPr>
        <w:t xml:space="preserve">-3 </w:t>
      </w:r>
      <w:proofErr w:type="spellStart"/>
      <w:r w:rsidR="008C44B3" w:rsidRPr="008C44B3">
        <w:rPr>
          <w:lang w:val="hu-HU"/>
        </w:rPr>
        <w:t>standards</w:t>
      </w:r>
      <w:proofErr w:type="spellEnd"/>
      <w:r w:rsidR="008C44B3" w:rsidRPr="008C44B3">
        <w:rPr>
          <w:lang w:val="en-US"/>
        </w:rPr>
        <w:t xml:space="preserve"> consists of </w:t>
      </w:r>
      <w:r w:rsidR="008C44B3" w:rsidRPr="008C44B3">
        <w:rPr>
          <w:b/>
          <w:highlight w:val="yellow"/>
          <w:lang w:val="en-US"/>
        </w:rPr>
        <w:t>17</w:t>
      </w:r>
      <w:r w:rsidR="008C44B3" w:rsidRPr="008C44B3">
        <w:rPr>
          <w:lang w:val="en-US"/>
        </w:rPr>
        <w:t xml:space="preserve"> ETSI standards, </w:t>
      </w:r>
      <w:r w:rsidR="008C44B3" w:rsidRPr="008C44B3">
        <w:rPr>
          <w:lang w:val="en-US"/>
        </w:rPr>
        <w:lastRenderedPageBreak/>
        <w:t xml:space="preserve">altogether comprising more than </w:t>
      </w:r>
      <w:r w:rsidR="008C44B3" w:rsidRPr="008C44B3">
        <w:rPr>
          <w:b/>
          <w:highlight w:val="yellow"/>
          <w:lang w:val="en-US"/>
        </w:rPr>
        <w:t>1650</w:t>
      </w:r>
      <w:r w:rsidR="008C44B3" w:rsidRPr="008C44B3">
        <w:rPr>
          <w:lang w:val="en-US"/>
        </w:rPr>
        <w:t xml:space="preserve"> pages (not counting the tool conformance test suite code)</w:t>
      </w:r>
      <w:r w:rsidR="008C44B3">
        <w:rPr>
          <w:lang w:val="en-US"/>
        </w:rPr>
        <w:t xml:space="preserve"> today</w:t>
      </w:r>
      <w:r w:rsidR="008C44B3" w:rsidRPr="008C44B3">
        <w:t xml:space="preserve">. </w:t>
      </w:r>
      <w:r w:rsidR="008C44B3" w:rsidRPr="008C44B3">
        <w:rPr>
          <w:highlight w:val="yellow"/>
        </w:rPr>
        <w:t xml:space="preserve">This requires very high </w:t>
      </w:r>
      <w:proofErr w:type="spellStart"/>
      <w:r w:rsidR="008C44B3" w:rsidRPr="008C44B3">
        <w:rPr>
          <w:highlight w:val="yellow"/>
        </w:rPr>
        <w:t>experteese</w:t>
      </w:r>
      <w:proofErr w:type="spellEnd"/>
      <w:r w:rsidR="008C44B3" w:rsidRPr="008C44B3">
        <w:rPr>
          <w:highlight w:val="yellow"/>
        </w:rPr>
        <w:t xml:space="preserve"> and experts knowing the standards in detail.</w:t>
      </w:r>
      <w:bookmarkStart w:id="0" w:name="_GoBack"/>
      <w:bookmarkEnd w:id="0"/>
      <w:r w:rsidR="008C44B3" w:rsidRPr="008C44B3">
        <w:t xml:space="preserve"> </w:t>
      </w:r>
    </w:p>
    <w:p w14:paraId="43BE464E" w14:textId="4F8AEEF1" w:rsidR="002B33FB" w:rsidRDefault="002B33FB" w:rsidP="002B33FB">
      <w:pPr>
        <w:rPr>
          <w:rFonts w:cs="Arial"/>
          <w:bCs/>
          <w:highlight w:val="cyan"/>
          <w:lang w:val="en-US" w:eastAsia="en-GB"/>
        </w:rPr>
      </w:pPr>
    </w:p>
    <w:p w14:paraId="611E3DA2" w14:textId="77777777" w:rsidR="002B33FB" w:rsidRDefault="002B33FB" w:rsidP="002B33FB">
      <w:pPr>
        <w:rPr>
          <w:rFonts w:cs="Arial"/>
          <w:bCs/>
          <w:highlight w:val="cyan"/>
          <w:lang w:val="en-US" w:eastAsia="en-GB"/>
        </w:rPr>
      </w:pPr>
    </w:p>
    <w:p w14:paraId="01782525" w14:textId="77777777" w:rsidR="002B33FB" w:rsidRPr="007D4D04" w:rsidRDefault="002B33FB" w:rsidP="002B33FB">
      <w:pPr>
        <w:tabs>
          <w:tab w:val="left" w:pos="7371"/>
          <w:tab w:val="left" w:pos="7938"/>
          <w:tab w:val="left" w:pos="8505"/>
          <w:tab w:val="left" w:pos="9072"/>
        </w:tabs>
        <w:rPr>
          <w:highlight w:val="green"/>
        </w:rPr>
      </w:pPr>
    </w:p>
    <w:p w14:paraId="79359AA2" w14:textId="77777777" w:rsidR="002B33FB" w:rsidRPr="007D4D04" w:rsidRDefault="002B33FB" w:rsidP="002B33FB">
      <w:pPr>
        <w:tabs>
          <w:tab w:val="left" w:pos="7371"/>
          <w:tab w:val="left" w:pos="7938"/>
          <w:tab w:val="left" w:pos="8505"/>
          <w:tab w:val="left" w:pos="9072"/>
        </w:tabs>
        <w:rPr>
          <w:highlight w:val="green"/>
        </w:rPr>
      </w:pPr>
      <w:r w:rsidRPr="007D4D04">
        <w:rPr>
          <w:highlight w:val="green"/>
        </w:rPr>
        <w:t>TC MTS’s target with this STF request is to re-synchronize the development of the TTCN3 language and its conformance test suite, considering the changes being introduced in v4.10.1 and v4.11.1, and to validate the extensions of the conformance test suite over preliminary implementations in multiple TTCN-3 tools. This way the updated core language standard can be published together with the updated conformance test suite. This would support that TTCN-3 test suites will also in the future compile on multiple TTCN-3 tools, by removing possible misunderstandings and ambiguities when implementing a new language feature in test tools. In addition, this planned STF shall be developing (non-validated) conformance tests for the draft v4.11.1 of the TTCN-3 standard; the availability of such conformance test suite shall aid the work of the TTCN-3 tool implementers for avoiding mistakes or standard-related misunderstandings with the new tool upgrade.</w:t>
      </w:r>
    </w:p>
    <w:p w14:paraId="48A844A3" w14:textId="77777777" w:rsidR="002B33FB" w:rsidRPr="001758D5" w:rsidRDefault="002B33FB" w:rsidP="002B33FB">
      <w:pPr>
        <w:rPr>
          <w:rFonts w:cs="Arial"/>
          <w:highlight w:val="cyan"/>
          <w:lang w:eastAsia="en-GB"/>
        </w:rPr>
      </w:pPr>
    </w:p>
    <w:p w14:paraId="4C791C28" w14:textId="02B0387A" w:rsidR="003F7DE2" w:rsidRDefault="003F7DE2" w:rsidP="00471C0C"/>
    <w:p w14:paraId="3D734AA8" w14:textId="77777777" w:rsidR="002B33FB" w:rsidRPr="00471C0C" w:rsidRDefault="002B33FB"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C77A433" w14:textId="77777777" w:rsidR="002B33FB" w:rsidRPr="001758D5" w:rsidRDefault="002B33FB" w:rsidP="002B33FB">
      <w:pPr>
        <w:rPr>
          <w:rFonts w:cs="Arial"/>
          <w:highlight w:val="cyan"/>
          <w:lang w:val="en-US"/>
        </w:rPr>
      </w:pPr>
      <w:r w:rsidRPr="001758D5">
        <w:rPr>
          <w:rFonts w:cs="Arial"/>
          <w:highlight w:val="cyan"/>
          <w:lang w:val="en-US"/>
        </w:rPr>
        <w:t>TTCN-3 language evolution STFs in the last years enabled continuous maintenance and extension of the TTCN-3 standards in the ES 201 873 series and the 7 published language extensions for specific use cases and domains. The object-orientation extension to come in mid-2018. This has essentially contributed to the success of TTCN-3.</w:t>
      </w:r>
    </w:p>
    <w:p w14:paraId="54E31B95" w14:textId="77777777" w:rsidR="002B33FB" w:rsidRPr="001758D5" w:rsidRDefault="002B33FB" w:rsidP="002B33FB">
      <w:pPr>
        <w:rPr>
          <w:rFonts w:cs="Arial"/>
          <w:highlight w:val="cyan"/>
          <w:lang w:val="en-US"/>
        </w:rPr>
      </w:pPr>
    </w:p>
    <w:p w14:paraId="27A601EA" w14:textId="77777777" w:rsidR="002B33FB" w:rsidRPr="001758D5" w:rsidRDefault="002B33FB" w:rsidP="002B33FB">
      <w:pPr>
        <w:rPr>
          <w:rFonts w:cs="Arial"/>
          <w:highlight w:val="cyan"/>
          <w:lang w:val="en-US"/>
        </w:rPr>
      </w:pPr>
      <w:r w:rsidRPr="001758D5">
        <w:rPr>
          <w:rFonts w:cs="Arial"/>
          <w:highlight w:val="cyan"/>
          <w:lang w:val="en-US"/>
        </w:rPr>
        <w:t>The volume of the work done and to be maintained are shown on figures 1 and 2.</w:t>
      </w:r>
    </w:p>
    <w:p w14:paraId="26A43F3B" w14:textId="77777777" w:rsidR="002B33FB" w:rsidRPr="001758D5" w:rsidRDefault="002B33FB" w:rsidP="002B33FB">
      <w:pPr>
        <w:rPr>
          <w:rFonts w:cs="Arial"/>
          <w:highlight w:val="cyan"/>
          <w:lang w:val="en-US"/>
        </w:rPr>
      </w:pPr>
    </w:p>
    <w:p w14:paraId="061A9061" w14:textId="7F85160A" w:rsidR="002B33FB" w:rsidRPr="001758D5" w:rsidRDefault="002B33FB" w:rsidP="002B33FB">
      <w:pPr>
        <w:jc w:val="center"/>
        <w:rPr>
          <w:noProof/>
          <w:highlight w:val="cyan"/>
          <w:lang w:eastAsia="zh-TW"/>
        </w:rPr>
      </w:pPr>
      <w:r w:rsidRPr="001758D5">
        <w:rPr>
          <w:noProof/>
          <w:highlight w:val="cyan"/>
          <w:lang w:eastAsia="zh-TW"/>
        </w:rPr>
        <w:drawing>
          <wp:inline distT="0" distB="0" distL="0" distR="0" wp14:anchorId="75CC46C2" wp14:editId="3D1591BF">
            <wp:extent cx="4084320"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4320" cy="2377440"/>
                    </a:xfrm>
                    <a:prstGeom prst="rect">
                      <a:avLst/>
                    </a:prstGeom>
                    <a:noFill/>
                    <a:ln>
                      <a:noFill/>
                    </a:ln>
                  </pic:spPr>
                </pic:pic>
              </a:graphicData>
            </a:graphic>
          </wp:inline>
        </w:drawing>
      </w:r>
    </w:p>
    <w:p w14:paraId="442199D4" w14:textId="77777777" w:rsidR="002B33FB" w:rsidRPr="001758D5" w:rsidRDefault="002B33FB" w:rsidP="002B33FB">
      <w:pPr>
        <w:jc w:val="center"/>
        <w:rPr>
          <w:noProof/>
          <w:highlight w:val="cyan"/>
          <w:lang w:eastAsia="zh-TW"/>
        </w:rPr>
      </w:pPr>
      <w:r w:rsidRPr="001758D5">
        <w:rPr>
          <w:noProof/>
          <w:highlight w:val="cyan"/>
          <w:lang w:eastAsia="zh-TW"/>
        </w:rPr>
        <w:t>Figure 1: Number of pages of the TTCN-3 standards</w:t>
      </w:r>
    </w:p>
    <w:p w14:paraId="58172385" w14:textId="77777777" w:rsidR="002B33FB" w:rsidRPr="001758D5" w:rsidRDefault="002B33FB" w:rsidP="002B33FB">
      <w:pPr>
        <w:jc w:val="center"/>
        <w:rPr>
          <w:noProof/>
          <w:highlight w:val="cyan"/>
          <w:lang w:eastAsia="zh-TW"/>
        </w:rPr>
      </w:pPr>
    </w:p>
    <w:p w14:paraId="0ABA866D" w14:textId="77777777" w:rsidR="002B33FB" w:rsidRPr="001758D5" w:rsidRDefault="002B33FB" w:rsidP="002B33FB">
      <w:pPr>
        <w:jc w:val="center"/>
        <w:rPr>
          <w:noProof/>
          <w:highlight w:val="cyan"/>
          <w:lang w:eastAsia="zh-TW"/>
        </w:rPr>
      </w:pPr>
    </w:p>
    <w:p w14:paraId="30C3C6A9" w14:textId="4F00CFA4" w:rsidR="002B33FB" w:rsidRPr="001758D5" w:rsidRDefault="002B33FB" w:rsidP="002B33FB">
      <w:pPr>
        <w:jc w:val="center"/>
        <w:rPr>
          <w:noProof/>
          <w:highlight w:val="cyan"/>
          <w:lang w:eastAsia="zh-TW"/>
        </w:rPr>
      </w:pPr>
      <w:r w:rsidRPr="001758D5">
        <w:rPr>
          <w:noProof/>
          <w:highlight w:val="cyan"/>
        </w:rPr>
        <w:lastRenderedPageBreak/>
        <w:drawing>
          <wp:inline distT="0" distB="0" distL="0" distR="0" wp14:anchorId="38C36E9F" wp14:editId="7CB536B6">
            <wp:extent cx="5203825" cy="2433320"/>
            <wp:effectExtent l="57150" t="57150" r="53975" b="43180"/>
            <wp:docPr id="1" name="Chart 1" descr="Title: No. of TTCN-3 CRs resolved in ETSI"/>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90AAC" w14:textId="77777777" w:rsidR="002B33FB" w:rsidRPr="001758D5" w:rsidRDefault="002B33FB" w:rsidP="002B33FB">
      <w:pPr>
        <w:jc w:val="center"/>
        <w:rPr>
          <w:noProof/>
          <w:highlight w:val="cyan"/>
          <w:lang w:eastAsia="zh-TW"/>
        </w:rPr>
      </w:pPr>
      <w:r w:rsidRPr="001758D5">
        <w:rPr>
          <w:noProof/>
          <w:highlight w:val="cyan"/>
          <w:lang w:eastAsia="zh-TW"/>
        </w:rPr>
        <w:t>Figure 2: Number of TTCN-3 CRs resolved and implemented by previous STFs</w:t>
      </w:r>
    </w:p>
    <w:p w14:paraId="2D0B5B0D" w14:textId="77777777" w:rsidR="002B33FB" w:rsidRPr="001758D5" w:rsidRDefault="002B33FB" w:rsidP="002B33FB">
      <w:pPr>
        <w:ind w:left="993" w:right="566" w:hanging="567"/>
        <w:jc w:val="left"/>
        <w:rPr>
          <w:rFonts w:cs="Arial"/>
          <w:highlight w:val="cyan"/>
        </w:rPr>
      </w:pPr>
      <w:r w:rsidRPr="001758D5">
        <w:rPr>
          <w:rFonts w:cs="Arial"/>
          <w:highlight w:val="cyan"/>
        </w:rPr>
        <w:t>Note:</w:t>
      </w:r>
      <w:r w:rsidRPr="001758D5">
        <w:rPr>
          <w:rFonts w:cs="Arial"/>
          <w:highlight w:val="cyan"/>
        </w:rPr>
        <w:tab/>
        <w:t>In 2017 it was planned to concentrate resources on the new ‘object orientation’ feature.</w:t>
      </w:r>
    </w:p>
    <w:p w14:paraId="27B0D126" w14:textId="77777777" w:rsidR="002B33FB" w:rsidRPr="001758D5" w:rsidRDefault="002B33FB" w:rsidP="002B33FB">
      <w:pPr>
        <w:rPr>
          <w:rFonts w:cs="Arial"/>
          <w:highlight w:val="cyan"/>
        </w:rPr>
      </w:pPr>
    </w:p>
    <w:p w14:paraId="455466F6" w14:textId="77777777" w:rsidR="002B33FB" w:rsidRPr="001758D5" w:rsidRDefault="002B33FB" w:rsidP="002B33FB">
      <w:pPr>
        <w:keepNext/>
        <w:keepLines/>
        <w:spacing w:after="120"/>
        <w:outlineLvl w:val="0"/>
        <w:rPr>
          <w:highlight w:val="cyan"/>
        </w:rPr>
      </w:pPr>
      <w:r w:rsidRPr="001758D5">
        <w:rPr>
          <w:highlight w:val="cyan"/>
        </w:rPr>
        <w:t>The TTCN-3 language evolution work in general will comprise the following tasks:</w:t>
      </w:r>
    </w:p>
    <w:p w14:paraId="51FEC222" w14:textId="77777777" w:rsidR="002B33FB" w:rsidRPr="001758D5" w:rsidRDefault="002B33FB" w:rsidP="002B33FB">
      <w:pPr>
        <w:keepNext/>
        <w:keepLines/>
        <w:tabs>
          <w:tab w:val="clear" w:pos="1418"/>
          <w:tab w:val="clear" w:pos="4678"/>
          <w:tab w:val="clear" w:pos="5954"/>
          <w:tab w:val="clear" w:pos="7088"/>
        </w:tabs>
        <w:jc w:val="left"/>
        <w:rPr>
          <w:highlight w:val="cyan"/>
        </w:rPr>
      </w:pPr>
      <w:r w:rsidRPr="001758D5">
        <w:rPr>
          <w:highlight w:val="cyan"/>
        </w:rPr>
        <w:t>Review and resolve change requests reporting technical defects or requesting clarifications and new language features for all existing TTCN-3 language standards.</w:t>
      </w:r>
    </w:p>
    <w:p w14:paraId="356A793B" w14:textId="77777777" w:rsidR="002B33FB" w:rsidRPr="001758D5" w:rsidRDefault="002B33FB" w:rsidP="002B33FB">
      <w:pPr>
        <w:keepNext/>
        <w:keepLines/>
        <w:tabs>
          <w:tab w:val="clear" w:pos="1418"/>
          <w:tab w:val="clear" w:pos="4678"/>
          <w:tab w:val="clear" w:pos="5954"/>
          <w:tab w:val="clear" w:pos="7088"/>
        </w:tabs>
        <w:jc w:val="left"/>
        <w:rPr>
          <w:highlight w:val="cyan"/>
        </w:rPr>
      </w:pPr>
      <w:r w:rsidRPr="001758D5">
        <w:rPr>
          <w:highlight w:val="cyan"/>
        </w:rPr>
        <w:t>Develop proposals for language extensions requested by ETSI TBs, 3GPP, oneM2M, ETSI members and the TTCN-3 community and consent the solution with the contributor(s).</w:t>
      </w:r>
    </w:p>
    <w:p w14:paraId="50B98EF8" w14:textId="77777777" w:rsidR="002B33FB" w:rsidRPr="001758D5" w:rsidRDefault="002B33FB" w:rsidP="002B33FB">
      <w:pPr>
        <w:keepNext/>
        <w:keepLines/>
        <w:tabs>
          <w:tab w:val="clear" w:pos="1418"/>
          <w:tab w:val="clear" w:pos="4678"/>
          <w:tab w:val="clear" w:pos="5954"/>
          <w:tab w:val="clear" w:pos="7088"/>
        </w:tabs>
        <w:jc w:val="left"/>
        <w:rPr>
          <w:highlight w:val="cyan"/>
        </w:rPr>
      </w:pPr>
      <w:r w:rsidRPr="001758D5">
        <w:rPr>
          <w:highlight w:val="cyan"/>
        </w:rPr>
        <w:t>Implement agreed solutions.</w:t>
      </w:r>
    </w:p>
    <w:p w14:paraId="79AEA552" w14:textId="77777777" w:rsidR="002B33FB" w:rsidRPr="001758D5" w:rsidRDefault="002B33FB" w:rsidP="002B33FB">
      <w:pPr>
        <w:keepNext/>
        <w:keepLines/>
        <w:tabs>
          <w:tab w:val="clear" w:pos="1418"/>
          <w:tab w:val="clear" w:pos="4678"/>
          <w:tab w:val="clear" w:pos="5954"/>
          <w:tab w:val="clear" w:pos="7088"/>
        </w:tabs>
        <w:jc w:val="left"/>
        <w:rPr>
          <w:highlight w:val="cyan"/>
        </w:rPr>
      </w:pPr>
      <w:r w:rsidRPr="001758D5">
        <w:rPr>
          <w:highlight w:val="cyan"/>
        </w:rPr>
        <w:t>Manage the change request (CR) process.</w:t>
      </w:r>
    </w:p>
    <w:p w14:paraId="3C0923D7" w14:textId="77777777" w:rsidR="002B33FB" w:rsidRPr="001758D5" w:rsidRDefault="002B33FB" w:rsidP="002B33FB">
      <w:pPr>
        <w:keepNext/>
        <w:keepLines/>
        <w:tabs>
          <w:tab w:val="clear" w:pos="1418"/>
          <w:tab w:val="clear" w:pos="4678"/>
          <w:tab w:val="clear" w:pos="5954"/>
          <w:tab w:val="clear" w:pos="7088"/>
        </w:tabs>
        <w:jc w:val="left"/>
        <w:rPr>
          <w:highlight w:val="cyan"/>
        </w:rPr>
      </w:pPr>
      <w:r w:rsidRPr="001758D5">
        <w:rPr>
          <w:highlight w:val="cyan"/>
        </w:rPr>
        <w:t>Manage the interim versions of the standard according to 3GPP needs (when requested), and the versions for approval.</w:t>
      </w:r>
    </w:p>
    <w:p w14:paraId="45B0BC0F" w14:textId="77777777" w:rsidR="002B33FB" w:rsidRPr="001758D5" w:rsidRDefault="002B33FB" w:rsidP="002B33FB">
      <w:pPr>
        <w:keepNext/>
        <w:keepLines/>
        <w:tabs>
          <w:tab w:val="clear" w:pos="1418"/>
          <w:tab w:val="clear" w:pos="4678"/>
          <w:tab w:val="clear" w:pos="5954"/>
          <w:tab w:val="clear" w:pos="7088"/>
        </w:tabs>
        <w:jc w:val="left"/>
        <w:rPr>
          <w:highlight w:val="cyan"/>
        </w:rPr>
      </w:pPr>
      <w:r w:rsidRPr="001758D5">
        <w:rPr>
          <w:highlight w:val="cyan"/>
        </w:rPr>
        <w:t>Present the TTCN-3 standards’ status and the work of the STF at the conference(s) associated with ETSI TB MTS and at ETSI TC MTS meetings.</w:t>
      </w:r>
    </w:p>
    <w:p w14:paraId="282B53D5" w14:textId="77777777" w:rsidR="002B33FB" w:rsidRPr="001758D5" w:rsidRDefault="002B33FB" w:rsidP="002B33FB">
      <w:pPr>
        <w:rPr>
          <w:highlight w:val="cyan"/>
          <w:lang w:val="en-US"/>
        </w:rPr>
      </w:pPr>
    </w:p>
    <w:p w14:paraId="213BD7B1" w14:textId="77777777" w:rsidR="002B33FB" w:rsidRPr="001758D5" w:rsidRDefault="002B33FB" w:rsidP="002B33FB">
      <w:pPr>
        <w:rPr>
          <w:highlight w:val="cyan"/>
        </w:rPr>
      </w:pPr>
      <w:r w:rsidRPr="001758D5">
        <w:rPr>
          <w:highlight w:val="cyan"/>
          <w:lang w:val="en-US"/>
        </w:rPr>
        <w:t xml:space="preserve">While developing the first version of the </w:t>
      </w:r>
      <w:r w:rsidRPr="001758D5">
        <w:rPr>
          <w:highlight w:val="cyan"/>
        </w:rPr>
        <w:t>TTCN-3 extension “Object Oriented features” in 2017 several issues were raised regarding</w:t>
      </w:r>
    </w:p>
    <w:p w14:paraId="0FCE5574" w14:textId="77777777" w:rsidR="002B33FB" w:rsidRPr="001758D5" w:rsidRDefault="002B33FB" w:rsidP="002B33FB">
      <w:pPr>
        <w:numPr>
          <w:ilvl w:val="0"/>
          <w:numId w:val="22"/>
        </w:numPr>
        <w:tabs>
          <w:tab w:val="left" w:pos="567"/>
        </w:tabs>
        <w:ind w:left="567" w:hanging="207"/>
        <w:rPr>
          <w:highlight w:val="cyan"/>
        </w:rPr>
      </w:pPr>
      <w:r w:rsidRPr="001758D5">
        <w:rPr>
          <w:highlight w:val="cyan"/>
        </w:rPr>
        <w:t>guidelines for the use of the Object Oriented (OO) TTCN-3 features in general and in combination with TTCN-3 which do not make use of OO features (e.g., for the further development of legacy test suites),</w:t>
      </w:r>
    </w:p>
    <w:p w14:paraId="79B106CC" w14:textId="77777777" w:rsidR="002B33FB" w:rsidRPr="001758D5" w:rsidRDefault="002B33FB" w:rsidP="002B33FB">
      <w:pPr>
        <w:numPr>
          <w:ilvl w:val="0"/>
          <w:numId w:val="22"/>
        </w:numPr>
        <w:tabs>
          <w:tab w:val="left" w:pos="567"/>
        </w:tabs>
        <w:ind w:left="567" w:hanging="207"/>
        <w:rPr>
          <w:highlight w:val="cyan"/>
        </w:rPr>
      </w:pPr>
      <w:r w:rsidRPr="001758D5">
        <w:rPr>
          <w:highlight w:val="cyan"/>
        </w:rPr>
        <w:t>the implementation of further OO features (identified after the first user and tool vendor evaluations of the new OO extension package), and</w:t>
      </w:r>
    </w:p>
    <w:p w14:paraId="175EC124" w14:textId="77777777" w:rsidR="002B33FB" w:rsidRPr="001758D5" w:rsidRDefault="002B33FB" w:rsidP="002B33FB">
      <w:pPr>
        <w:numPr>
          <w:ilvl w:val="0"/>
          <w:numId w:val="22"/>
        </w:numPr>
        <w:tabs>
          <w:tab w:val="left" w:pos="567"/>
        </w:tabs>
        <w:ind w:left="567" w:hanging="207"/>
        <w:rPr>
          <w:highlight w:val="cyan"/>
        </w:rPr>
      </w:pPr>
      <w:r w:rsidRPr="001758D5">
        <w:rPr>
          <w:highlight w:val="cyan"/>
        </w:rPr>
        <w:t>the need for standard OO-based libraries.</w:t>
      </w:r>
    </w:p>
    <w:p w14:paraId="29242D77" w14:textId="77777777" w:rsidR="002B33FB" w:rsidRPr="001758D5" w:rsidRDefault="002B33FB" w:rsidP="002B33FB">
      <w:pPr>
        <w:rPr>
          <w:rFonts w:cs="Arial"/>
          <w:highlight w:val="cyan"/>
        </w:rPr>
      </w:pPr>
    </w:p>
    <w:p w14:paraId="6BF0E839" w14:textId="77777777" w:rsidR="002B33FB" w:rsidRPr="001758D5" w:rsidRDefault="002B33FB" w:rsidP="002B33FB">
      <w:pPr>
        <w:rPr>
          <w:rFonts w:cs="Arial"/>
          <w:highlight w:val="cyan"/>
        </w:rPr>
      </w:pPr>
      <w:r w:rsidRPr="001758D5">
        <w:rPr>
          <w:rFonts w:cs="Arial"/>
          <w:highlight w:val="cyan"/>
        </w:rPr>
        <w:t>Due to these issues TC MTS has recognized the need for:</w:t>
      </w:r>
    </w:p>
    <w:p w14:paraId="1409C32D" w14:textId="77777777" w:rsidR="002B33FB" w:rsidRPr="001758D5" w:rsidRDefault="002B33FB" w:rsidP="002B33FB">
      <w:pPr>
        <w:numPr>
          <w:ilvl w:val="0"/>
          <w:numId w:val="23"/>
        </w:numPr>
        <w:tabs>
          <w:tab w:val="left" w:pos="567"/>
        </w:tabs>
        <w:ind w:left="567" w:hanging="207"/>
        <w:rPr>
          <w:rFonts w:cs="Arial"/>
          <w:highlight w:val="cyan"/>
        </w:rPr>
      </w:pPr>
      <w:r w:rsidRPr="001758D5">
        <w:rPr>
          <w:rFonts w:cs="Arial"/>
          <w:highlight w:val="cyan"/>
        </w:rPr>
        <w:t>Educational material explaining the effective use of the TTCN-3 OO features.</w:t>
      </w:r>
    </w:p>
    <w:p w14:paraId="5591618C" w14:textId="77777777" w:rsidR="002B33FB" w:rsidRPr="001758D5" w:rsidRDefault="002B33FB" w:rsidP="002B33FB">
      <w:pPr>
        <w:numPr>
          <w:ilvl w:val="0"/>
          <w:numId w:val="23"/>
        </w:numPr>
        <w:tabs>
          <w:tab w:val="left" w:pos="567"/>
        </w:tabs>
        <w:ind w:left="567" w:hanging="207"/>
        <w:rPr>
          <w:highlight w:val="cyan"/>
        </w:rPr>
      </w:pPr>
      <w:r w:rsidRPr="001758D5">
        <w:rPr>
          <w:rFonts w:cs="Arial"/>
          <w:highlight w:val="cyan"/>
        </w:rPr>
        <w:t xml:space="preserve">Further development of the TTCN-3 extension </w:t>
      </w:r>
      <w:r w:rsidRPr="001758D5">
        <w:rPr>
          <w:highlight w:val="cyan"/>
        </w:rPr>
        <w:t>“Object Oriented features”.</w:t>
      </w:r>
    </w:p>
    <w:p w14:paraId="45582DA6" w14:textId="77777777" w:rsidR="002B33FB" w:rsidRPr="001758D5" w:rsidRDefault="002B33FB" w:rsidP="002B33FB">
      <w:pPr>
        <w:numPr>
          <w:ilvl w:val="0"/>
          <w:numId w:val="23"/>
        </w:numPr>
        <w:tabs>
          <w:tab w:val="left" w:pos="567"/>
        </w:tabs>
        <w:ind w:left="567" w:hanging="207"/>
        <w:rPr>
          <w:rFonts w:cs="Arial"/>
          <w:highlight w:val="cyan"/>
        </w:rPr>
      </w:pPr>
      <w:r w:rsidRPr="001758D5">
        <w:rPr>
          <w:highlight w:val="cyan"/>
        </w:rPr>
        <w:t>Start of the development of a standard OO-based library (i.e., based on the collection of similar functionalities implemented by several users).</w:t>
      </w:r>
    </w:p>
    <w:p w14:paraId="75D00F82" w14:textId="4750B3D2" w:rsidR="002F183F" w:rsidRDefault="002F183F" w:rsidP="00471C0C">
      <w:pPr>
        <w:pStyle w:val="Heading2"/>
        <w:numPr>
          <w:ilvl w:val="0"/>
          <w:numId w:val="0"/>
        </w:numPr>
      </w:pPr>
      <w:r w:rsidRPr="00471C0C">
        <w:t xml:space="preserve"> </w:t>
      </w:r>
    </w:p>
    <w:p w14:paraId="6B228A97" w14:textId="5B30E326" w:rsidR="00132601" w:rsidRDefault="00132601" w:rsidP="00132601">
      <w:pPr>
        <w:pStyle w:val="Heading2"/>
      </w:pPr>
      <w:r>
        <w:t>P</w:t>
      </w:r>
      <w:r w:rsidRPr="009C296A">
        <w:t>revious funded activities</w:t>
      </w:r>
      <w:r>
        <w:t xml:space="preserve"> in the same domain</w:t>
      </w:r>
    </w:p>
    <w:p w14:paraId="79A18DED" w14:textId="77777777" w:rsidR="007766AC" w:rsidRPr="007D4D04" w:rsidRDefault="007766AC" w:rsidP="007766AC">
      <w:pPr>
        <w:tabs>
          <w:tab w:val="left" w:pos="7371"/>
          <w:tab w:val="left" w:pos="7938"/>
          <w:tab w:val="left" w:pos="8505"/>
          <w:tab w:val="left" w:pos="9072"/>
        </w:tabs>
        <w:rPr>
          <w:highlight w:val="green"/>
        </w:rPr>
      </w:pPr>
      <w:r w:rsidRPr="007D4D04">
        <w:rPr>
          <w:highlight w:val="green"/>
        </w:rPr>
        <w:t xml:space="preserve">Based on the above requests, TC MTS developed a first conformance test suite in STF 409 which lead to the discovery of 19 issues or ambiguities in the TTCN-3 standard version v4.2.1 when covering about 1/3 of the clauses in the main standard with some tests. The test suite was extended, re-based to TTCN-3 v4.9.1 by STF433, STF454, STF470, STF487, STF521, and STF548 and a new coverage analysis approach, reaching 100 % coverage of the core language clauses, and synchronized with the up-to-date revision. TTCN-3 is, however, a living language. A new version is published by ETSI each year; the latest published version is v4.9.1. </w:t>
      </w:r>
    </w:p>
    <w:p w14:paraId="7D871A51" w14:textId="77777777" w:rsidR="00903472" w:rsidRPr="00471C0C" w:rsidRDefault="00903472" w:rsidP="00471C0C"/>
    <w:p w14:paraId="35DE255D" w14:textId="77777777" w:rsidR="003F7DE2" w:rsidRDefault="003F7DE2" w:rsidP="00471C0C">
      <w:pPr>
        <w:pStyle w:val="Heading2"/>
        <w:numPr>
          <w:ilvl w:val="0"/>
          <w:numId w:val="0"/>
        </w:numPr>
      </w:pPr>
      <w:bookmarkStart w:id="1" w:name="_Toc229392234"/>
      <w:bookmarkStart w:id="2" w:name="_Ref325990203"/>
    </w:p>
    <w:p w14:paraId="6CFFFA63" w14:textId="4FB38ABC" w:rsidR="001A577A" w:rsidRDefault="001A577A" w:rsidP="001A577A">
      <w:pPr>
        <w:pStyle w:val="Heading2"/>
      </w:pPr>
      <w:r>
        <w:t>Consequences if not agreed</w:t>
      </w:r>
    </w:p>
    <w:p w14:paraId="3335A924" w14:textId="082DC28C" w:rsidR="001A577A" w:rsidRDefault="001A577A" w:rsidP="001A577A">
      <w:pPr>
        <w:pStyle w:val="Guideline"/>
      </w:pPr>
      <w:r>
        <w:t xml:space="preserve">This section must provide factual elements on the consequences if the </w:t>
      </w:r>
      <w:r w:rsidR="00E13026">
        <w:t>TTF</w:t>
      </w:r>
      <w:r>
        <w:t xml:space="preserve"> is not accepted, e.g. whether it would be impossible to do the work or it would only be delayed, which other Standard Organizations may take the lead, how </w:t>
      </w:r>
      <w:r w:rsidR="00E13026">
        <w:t>ETSI</w:t>
      </w:r>
      <w:r>
        <w:t xml:space="preserve"> Members may be damaged by a fragmented market or miss the opportunity to enter a new domain.  If possible, identify time to market deadlines.</w:t>
      </w:r>
    </w:p>
    <w:p w14:paraId="5CF11FD5" w14:textId="77777777" w:rsidR="001A577A" w:rsidRDefault="001A577A" w:rsidP="001A577A">
      <w:pPr>
        <w:pStyle w:val="Guideline"/>
      </w:pPr>
    </w:p>
    <w:p w14:paraId="78922FD3" w14:textId="77777777" w:rsidR="007E467E" w:rsidRDefault="007E467E" w:rsidP="00071C49"/>
    <w:bookmarkEnd w:id="1"/>
    <w:bookmarkEnd w:id="2"/>
    <w:p w14:paraId="746DEFBF" w14:textId="77777777" w:rsidR="007E467E" w:rsidRDefault="007E467E" w:rsidP="00A526B3"/>
    <w:p w14:paraId="38935777" w14:textId="1190BA6B" w:rsidR="00F32120" w:rsidRDefault="00FC2EE2" w:rsidP="00AB0CC7">
      <w:pPr>
        <w:pStyle w:val="Heading1"/>
      </w:pPr>
      <w:bookmarkStart w:id="3" w:name="_Toc229392237"/>
      <w:r>
        <w:t>ETSI Members Support</w:t>
      </w:r>
    </w:p>
    <w:p w14:paraId="441027E0" w14:textId="157716E1" w:rsidR="009422D6" w:rsidRDefault="00D737A8" w:rsidP="00211930">
      <w:pPr>
        <w:pStyle w:val="Guideline"/>
      </w:pPr>
      <w:bookmarkStart w:id="4" w:name="_Ref323660142"/>
      <w:bookmarkEnd w:id="3"/>
      <w:r>
        <w:t xml:space="preserve">Provide the list of </w:t>
      </w:r>
      <w:r w:rsidR="002A5ADD">
        <w:t xml:space="preserve">ETSI </w:t>
      </w:r>
      <w:r>
        <w:t xml:space="preserve">Members supporting the </w:t>
      </w:r>
      <w:r w:rsidR="002A5ADD">
        <w:t>request for this</w:t>
      </w:r>
      <w:r w:rsidR="0093472E">
        <w:t xml:space="preserve"> </w:t>
      </w:r>
      <w:r w:rsidR="00F27814">
        <w:t>TTF</w:t>
      </w:r>
      <w:r w:rsidR="007E467E">
        <w:t xml:space="preserve"> (minimum 4)</w:t>
      </w:r>
      <w:r>
        <w:t xml:space="preserve">, the name of the </w:t>
      </w:r>
      <w:r w:rsidR="003F0E01">
        <w:t xml:space="preserve">supporting </w:t>
      </w:r>
      <w:r w:rsidR="000734C4">
        <w:t>delegate.</w:t>
      </w:r>
    </w:p>
    <w:p w14:paraId="6D667109" w14:textId="77777777" w:rsidR="00D737A8" w:rsidRDefault="00D737A8" w:rsidP="00211930">
      <w:pPr>
        <w:pStyle w:val="Guideline"/>
      </w:pPr>
    </w:p>
    <w:p w14:paraId="0E0B619B" w14:textId="071DBBDC" w:rsidR="00D737A8" w:rsidRPr="00712FB8" w:rsidRDefault="009422D6" w:rsidP="00211930">
      <w:pPr>
        <w:pStyle w:val="Guideline"/>
      </w:pPr>
      <w:r>
        <w:t xml:space="preserve">Note: </w:t>
      </w:r>
      <w:r w:rsidR="00FB152C">
        <w:t>T</w:t>
      </w:r>
      <w:r w:rsidR="00D737A8">
        <w:t xml:space="preserve">his </w:t>
      </w:r>
      <w:r w:rsidR="00A83FE4">
        <w:t>support is not the same as for the Work Item.</w:t>
      </w:r>
      <w:r w:rsidR="00FB152C">
        <w:t xml:space="preserve"> </w:t>
      </w:r>
      <w:r w:rsidR="00A83FE4">
        <w:t>ETSI Member</w:t>
      </w:r>
      <w:r>
        <w:t>s</w:t>
      </w:r>
      <w:r w:rsidR="00A83FE4">
        <w:t xml:space="preserve"> </w:t>
      </w:r>
      <w:r w:rsidR="00FB152C">
        <w:t xml:space="preserve">listed here are </w:t>
      </w:r>
      <w:r w:rsidR="00A83FE4">
        <w:t>support</w:t>
      </w:r>
      <w:r w:rsidR="00FB152C">
        <w:t>ing</w:t>
      </w:r>
      <w:r w:rsidR="00A83FE4">
        <w:t xml:space="preserve"> that ETSI invests financial resources </w:t>
      </w:r>
      <w:r w:rsidR="00FB152C">
        <w:t xml:space="preserve">for </w:t>
      </w:r>
      <w:r w:rsidR="00A83FE4">
        <w:t xml:space="preserve">an </w:t>
      </w:r>
      <w:r w:rsidR="0093472E">
        <w:t>TTF</w:t>
      </w:r>
      <w:r w:rsidR="00A83FE4">
        <w:t xml:space="preserve"> to produce the Work Item(s).</w:t>
      </w:r>
    </w:p>
    <w:p w14:paraId="65AC2A2F" w14:textId="77777777"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05779D65" w:rsidR="00B7194C" w:rsidRDefault="00B7194C" w:rsidP="007E467E"/>
        </w:tc>
        <w:tc>
          <w:tcPr>
            <w:tcW w:w="4536" w:type="dxa"/>
          </w:tcPr>
          <w:p w14:paraId="0A2D84A4" w14:textId="77777777" w:rsidR="00B7194C" w:rsidRDefault="00B7194C" w:rsidP="007E467E"/>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543A159C" w:rsidR="00B7194C" w:rsidRDefault="00B7194C" w:rsidP="007E467E"/>
        </w:tc>
        <w:tc>
          <w:tcPr>
            <w:tcW w:w="4536" w:type="dxa"/>
          </w:tcPr>
          <w:p w14:paraId="599ADA3A" w14:textId="77777777" w:rsidR="00B7194C" w:rsidRDefault="00B7194C" w:rsidP="007E467E"/>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06C1999A" w:rsidR="00B7194C" w:rsidRDefault="00B7194C" w:rsidP="00A526B3"/>
        </w:tc>
        <w:tc>
          <w:tcPr>
            <w:tcW w:w="4536" w:type="dxa"/>
          </w:tcPr>
          <w:p w14:paraId="17A3BFB7" w14:textId="77777777" w:rsidR="00B7194C" w:rsidRDefault="00B7194C" w:rsidP="00A526B3"/>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2868DABF" w:rsidR="00B7194C" w:rsidRDefault="00B7194C" w:rsidP="00A526B3"/>
        </w:tc>
        <w:tc>
          <w:tcPr>
            <w:tcW w:w="4536" w:type="dxa"/>
          </w:tcPr>
          <w:p w14:paraId="409B0C99" w14:textId="77777777" w:rsidR="00B7194C" w:rsidRDefault="00B7194C" w:rsidP="00A526B3"/>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6F232F" w14:paraId="1C4DF3BD" w14:textId="77777777" w:rsidTr="00471C0C">
        <w:trPr>
          <w:trHeight w:val="231"/>
        </w:trPr>
        <w:tc>
          <w:tcPr>
            <w:tcW w:w="2986" w:type="dxa"/>
            <w:vAlign w:val="center"/>
          </w:tcPr>
          <w:p w14:paraId="1B4C3291" w14:textId="28511EF4" w:rsidR="00C35B8E" w:rsidRPr="009F2D55" w:rsidRDefault="00C35B8E" w:rsidP="00C35B8E">
            <w:pPr>
              <w:keepNext/>
              <w:keepLines/>
              <w:rPr>
                <w:lang w:val="fr-FR"/>
              </w:rPr>
            </w:pPr>
            <w:r w:rsidRPr="009F2D55">
              <w:rPr>
                <w:lang w:val="fr-FR"/>
              </w:rPr>
              <w:t>ETSI XXX XXX-X</w:t>
            </w:r>
          </w:p>
        </w:tc>
        <w:tc>
          <w:tcPr>
            <w:tcW w:w="4509" w:type="dxa"/>
            <w:vAlign w:val="center"/>
          </w:tcPr>
          <w:p w14:paraId="553CB286" w14:textId="77777777" w:rsidR="00C35B8E" w:rsidRPr="009F2D55" w:rsidRDefault="00C35B8E" w:rsidP="00C35B8E">
            <w:pPr>
              <w:keepNext/>
              <w:keepLines/>
              <w:rPr>
                <w:lang w:val="fr-FR"/>
              </w:rPr>
            </w:pPr>
          </w:p>
        </w:tc>
        <w:tc>
          <w:tcPr>
            <w:tcW w:w="1573" w:type="dxa"/>
            <w:tcMar>
              <w:left w:w="0" w:type="dxa"/>
              <w:right w:w="0" w:type="dxa"/>
            </w:tcMar>
            <w:vAlign w:val="center"/>
          </w:tcPr>
          <w:p w14:paraId="1499B452" w14:textId="77777777" w:rsidR="00C35B8E" w:rsidRPr="009F2D55" w:rsidRDefault="00C35B8E" w:rsidP="00C35B8E">
            <w:pPr>
              <w:keepNext/>
              <w:keepLines/>
              <w:jc w:val="center"/>
              <w:rPr>
                <w:lang w:val="fr-FR"/>
              </w:rPr>
            </w:pPr>
          </w:p>
        </w:tc>
      </w:tr>
      <w:tr w:rsidR="00C35B8E" w:rsidRPr="006F232F" w14:paraId="245F2992" w14:textId="77777777" w:rsidTr="00471C0C">
        <w:trPr>
          <w:trHeight w:val="231"/>
        </w:trPr>
        <w:tc>
          <w:tcPr>
            <w:tcW w:w="2986" w:type="dxa"/>
            <w:vAlign w:val="center"/>
          </w:tcPr>
          <w:p w14:paraId="758C596C" w14:textId="77777777" w:rsidR="00C35B8E" w:rsidRPr="009F2D55" w:rsidRDefault="00C35B8E" w:rsidP="00C35B8E">
            <w:pPr>
              <w:keepNext/>
              <w:keepLines/>
              <w:rPr>
                <w:lang w:val="fr-FR"/>
              </w:rPr>
            </w:pPr>
          </w:p>
        </w:tc>
        <w:tc>
          <w:tcPr>
            <w:tcW w:w="4509" w:type="dxa"/>
            <w:vAlign w:val="center"/>
          </w:tcPr>
          <w:p w14:paraId="244F742E" w14:textId="77777777" w:rsidR="00C35B8E" w:rsidRPr="009F2D55" w:rsidRDefault="00C35B8E" w:rsidP="00C35B8E">
            <w:pPr>
              <w:keepNext/>
              <w:keepLines/>
              <w:rPr>
                <w:lang w:val="fr-FR"/>
              </w:rPr>
            </w:pPr>
          </w:p>
        </w:tc>
        <w:tc>
          <w:tcPr>
            <w:tcW w:w="1573" w:type="dxa"/>
            <w:tcMar>
              <w:left w:w="0" w:type="dxa"/>
              <w:right w:w="0" w:type="dxa"/>
            </w:tcMar>
            <w:vAlign w:val="center"/>
          </w:tcPr>
          <w:p w14:paraId="1728CA93" w14:textId="77777777" w:rsidR="00C35B8E" w:rsidRPr="009F2D55" w:rsidRDefault="00C35B8E" w:rsidP="00C35B8E">
            <w:pPr>
              <w:keepNext/>
              <w:keepLines/>
              <w:jc w:val="center"/>
              <w:rPr>
                <w:lang w:val="fr-FR"/>
              </w:rPr>
            </w:pPr>
          </w:p>
        </w:tc>
      </w:tr>
      <w:tr w:rsidR="00C35B8E" w:rsidRPr="006F232F" w14:paraId="54629F79" w14:textId="77777777" w:rsidTr="00471C0C">
        <w:trPr>
          <w:trHeight w:val="215"/>
        </w:trPr>
        <w:tc>
          <w:tcPr>
            <w:tcW w:w="2986" w:type="dxa"/>
            <w:vAlign w:val="center"/>
          </w:tcPr>
          <w:p w14:paraId="71CA8F77" w14:textId="77777777" w:rsidR="00C35B8E" w:rsidRPr="009F2D55" w:rsidRDefault="00C35B8E" w:rsidP="00C35B8E">
            <w:pPr>
              <w:keepNext/>
              <w:keepLines/>
              <w:rPr>
                <w:lang w:val="fr-FR"/>
              </w:rPr>
            </w:pPr>
          </w:p>
        </w:tc>
        <w:tc>
          <w:tcPr>
            <w:tcW w:w="4509" w:type="dxa"/>
            <w:vAlign w:val="center"/>
          </w:tcPr>
          <w:p w14:paraId="02EEC8BD" w14:textId="77777777" w:rsidR="00C35B8E" w:rsidRPr="009F2D55" w:rsidRDefault="00C35B8E" w:rsidP="00C35B8E">
            <w:pPr>
              <w:keepNext/>
              <w:keepLines/>
              <w:rPr>
                <w:lang w:val="fr-FR"/>
              </w:rPr>
            </w:pPr>
          </w:p>
        </w:tc>
        <w:tc>
          <w:tcPr>
            <w:tcW w:w="1573" w:type="dxa"/>
            <w:tcMar>
              <w:left w:w="0" w:type="dxa"/>
              <w:right w:w="0" w:type="dxa"/>
            </w:tcMar>
            <w:vAlign w:val="center"/>
          </w:tcPr>
          <w:p w14:paraId="1D979B8E" w14:textId="77777777" w:rsidR="00C35B8E" w:rsidRPr="009F2D55" w:rsidRDefault="00C35B8E" w:rsidP="00C35B8E">
            <w:pPr>
              <w:keepNext/>
              <w:keepLines/>
              <w:jc w:val="center"/>
              <w:rPr>
                <w:lang w:val="fr-FR"/>
              </w:rPr>
            </w:pP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p w14:paraId="4FE61D8A" w14:textId="1E3DB189" w:rsidR="006C0941" w:rsidRPr="006C0941" w:rsidRDefault="006C0941" w:rsidP="006C0941">
      <w:pPr>
        <w:rPr>
          <w:i/>
        </w:rPr>
      </w:pPr>
      <w:r w:rsidRPr="006C0941">
        <w:rPr>
          <w:i/>
        </w:rPr>
        <w:t xml:space="preserve">Working titles </w:t>
      </w:r>
      <w:proofErr w:type="gramStart"/>
      <w:r w:rsidRPr="006C0941">
        <w:rPr>
          <w:i/>
        </w:rPr>
        <w:t>sufficient</w:t>
      </w:r>
      <w:proofErr w:type="gramEnd"/>
      <w:r w:rsidRPr="006C0941">
        <w:rPr>
          <w:i/>
        </w:rPr>
        <w:t xml:space="preserve"> for part I</w:t>
      </w:r>
      <w:r>
        <w:rPr>
          <w:i/>
        </w:rPr>
        <w:t>. Complete with full WI reference when final ToR are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6269F97A" w14:textId="3E4674A0" w:rsidR="00FC2EE2" w:rsidRDefault="00FC2EE2" w:rsidP="005C5AC0">
            <w:pPr>
              <w:keepNext/>
              <w:keepLines/>
            </w:pPr>
            <w:r>
              <w:t>D/XXX-XXXXX-XX</w:t>
            </w:r>
          </w:p>
          <w:p w14:paraId="1694B116" w14:textId="08052AF8" w:rsidR="00FC2EE2" w:rsidRDefault="00FC2EE2" w:rsidP="005C5AC0">
            <w:pPr>
              <w:keepNext/>
              <w:keepLines/>
            </w:pPr>
            <w:r>
              <w:t>XXX XXX-X</w:t>
            </w:r>
          </w:p>
        </w:tc>
        <w:tc>
          <w:tcPr>
            <w:tcW w:w="5201" w:type="dxa"/>
          </w:tcPr>
          <w:p w14:paraId="615A64D1" w14:textId="77777777" w:rsidR="00FC2EE2" w:rsidRDefault="00FC2EE2" w:rsidP="005C5AC0">
            <w:pPr>
              <w:keepNext/>
              <w:keepLines/>
            </w:pPr>
            <w:r>
              <w:t xml:space="preserve">Working title: </w:t>
            </w:r>
          </w:p>
          <w:p w14:paraId="63DA9F3C" w14:textId="2C5EF248" w:rsidR="00FC2EE2" w:rsidRDefault="00FC2EE2" w:rsidP="005C5AC0">
            <w:pPr>
              <w:keepNext/>
              <w:keepLines/>
            </w:pPr>
          </w:p>
        </w:tc>
        <w:tc>
          <w:tcPr>
            <w:tcW w:w="1378" w:type="dxa"/>
          </w:tcPr>
          <w:p w14:paraId="551B9D8F" w14:textId="77777777" w:rsidR="00FC2EE2" w:rsidRDefault="00FC2EE2" w:rsidP="005C5AC0">
            <w:pPr>
              <w:keepNext/>
              <w:keepLines/>
            </w:pPr>
          </w:p>
        </w:tc>
      </w:tr>
      <w:tr w:rsidR="00FC2EE2" w14:paraId="74B28F0C" w14:textId="77777777" w:rsidTr="00471C0C">
        <w:tc>
          <w:tcPr>
            <w:tcW w:w="750" w:type="dxa"/>
          </w:tcPr>
          <w:p w14:paraId="65026F97" w14:textId="77777777" w:rsidR="00FC2EE2" w:rsidRDefault="00FC2EE2" w:rsidP="005C5AC0">
            <w:pPr>
              <w:keepNext/>
              <w:keepLines/>
            </w:pPr>
            <w:r>
              <w:t>D2</w:t>
            </w:r>
          </w:p>
        </w:tc>
        <w:tc>
          <w:tcPr>
            <w:tcW w:w="1732" w:type="dxa"/>
          </w:tcPr>
          <w:p w14:paraId="297FD0B1" w14:textId="612A8F4F" w:rsidR="00FC2EE2" w:rsidRDefault="00FC2EE2" w:rsidP="005C5AC0">
            <w:pPr>
              <w:keepNext/>
              <w:keepLines/>
            </w:pPr>
            <w:r>
              <w:t>D/XXX-XXXXX-XX</w:t>
            </w:r>
          </w:p>
          <w:p w14:paraId="2775F22A" w14:textId="38C8BCF1" w:rsidR="00FC2EE2" w:rsidRDefault="00FC2EE2" w:rsidP="005C5AC0">
            <w:pPr>
              <w:keepNext/>
              <w:keepLines/>
            </w:pPr>
            <w:r>
              <w:t>XXX XXX-X</w:t>
            </w:r>
          </w:p>
        </w:tc>
        <w:tc>
          <w:tcPr>
            <w:tcW w:w="5201" w:type="dxa"/>
          </w:tcPr>
          <w:p w14:paraId="72D80341" w14:textId="3D932285" w:rsidR="00FC2EE2" w:rsidRDefault="00FC2EE2" w:rsidP="005C5AC0">
            <w:pPr>
              <w:keepNext/>
              <w:keepLines/>
            </w:pPr>
            <w:r>
              <w:t>Working title</w:t>
            </w:r>
          </w:p>
          <w:p w14:paraId="6401D82F" w14:textId="1502B806" w:rsidR="00FC2EE2" w:rsidRDefault="00FC2EE2" w:rsidP="005C5AC0">
            <w:pPr>
              <w:keepNext/>
              <w:keepLines/>
            </w:pPr>
          </w:p>
        </w:tc>
        <w:tc>
          <w:tcPr>
            <w:tcW w:w="1378" w:type="dxa"/>
          </w:tcPr>
          <w:p w14:paraId="35CF81C7" w14:textId="77777777" w:rsidR="00FC2EE2" w:rsidRDefault="00FC2EE2" w:rsidP="005C5AC0">
            <w:pPr>
              <w:keepNext/>
              <w:keepLines/>
            </w:pPr>
          </w:p>
        </w:tc>
      </w:tr>
      <w:tr w:rsidR="00FC2EE2" w14:paraId="3708A382" w14:textId="77777777" w:rsidTr="00471C0C">
        <w:tc>
          <w:tcPr>
            <w:tcW w:w="750" w:type="dxa"/>
          </w:tcPr>
          <w:p w14:paraId="0126C4D0" w14:textId="77777777" w:rsidR="00FC2EE2" w:rsidRDefault="00FC2EE2" w:rsidP="005C5AC0">
            <w:pPr>
              <w:keepNext/>
              <w:keepLines/>
            </w:pPr>
            <w:r>
              <w:t>D3</w:t>
            </w:r>
          </w:p>
        </w:tc>
        <w:tc>
          <w:tcPr>
            <w:tcW w:w="1732" w:type="dxa"/>
          </w:tcPr>
          <w:p w14:paraId="47590002" w14:textId="77777777" w:rsidR="00FC2EE2" w:rsidRDefault="00FC2EE2" w:rsidP="005C5AC0">
            <w:pPr>
              <w:keepNext/>
              <w:keepLines/>
            </w:pPr>
          </w:p>
        </w:tc>
        <w:tc>
          <w:tcPr>
            <w:tcW w:w="5201" w:type="dxa"/>
          </w:tcPr>
          <w:p w14:paraId="3C621928" w14:textId="77777777" w:rsidR="00FC2EE2" w:rsidRDefault="00FC2EE2" w:rsidP="005C5AC0">
            <w:pPr>
              <w:keepNext/>
              <w:keepLines/>
            </w:pPr>
          </w:p>
        </w:tc>
        <w:tc>
          <w:tcPr>
            <w:tcW w:w="1378" w:type="dxa"/>
          </w:tcPr>
          <w:p w14:paraId="1A6BDCF7" w14:textId="77777777" w:rsidR="00FC2EE2" w:rsidRDefault="00FC2EE2" w:rsidP="005C5AC0">
            <w:pPr>
              <w:keepNext/>
              <w:keepLines/>
            </w:pP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6E049F1A" w14:textId="5D7D313B" w:rsidR="006616AF" w:rsidRDefault="006616AF" w:rsidP="006616AF">
      <w:pPr>
        <w:pStyle w:val="GuidelineB0"/>
      </w:pPr>
      <w:r>
        <w:t xml:space="preserve">Provide the budget </w:t>
      </w:r>
      <w:r w:rsidR="00767A4B">
        <w:t xml:space="preserve">per task </w:t>
      </w:r>
      <w:r>
        <w:t xml:space="preserve">that should be allocated for this </w:t>
      </w:r>
      <w:r w:rsidR="00767A4B">
        <w:t>TTF</w:t>
      </w:r>
      <w:r>
        <w:t xml:space="preserve"> considering the provision of the expertise for the qualification required</w:t>
      </w:r>
    </w:p>
    <w:p w14:paraId="42589DEF" w14:textId="77777777" w:rsidR="006616AF" w:rsidRPr="00A526B3" w:rsidRDefault="006616AF" w:rsidP="006616AF">
      <w:pPr>
        <w:pStyle w:val="GuidelineB0"/>
      </w:pPr>
      <w:r>
        <w:t xml:space="preserve">The estimate of the manpower must include the cost for travels which are necessary to attend the working session. </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D9585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D95853">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D9585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D95853">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33E444FC" w:rsidR="00356B16" w:rsidRDefault="00356B16" w:rsidP="00D95853">
            <w:pPr>
              <w:keepNext/>
              <w:keepLines/>
              <w:jc w:val="left"/>
            </w:pPr>
          </w:p>
        </w:tc>
        <w:tc>
          <w:tcPr>
            <w:tcW w:w="1842" w:type="dxa"/>
            <w:shd w:val="clear" w:color="auto" w:fill="auto"/>
          </w:tcPr>
          <w:p w14:paraId="27B35426" w14:textId="77777777" w:rsidR="00356B16" w:rsidRDefault="00356B16" w:rsidP="00D95853">
            <w:pPr>
              <w:keepNext/>
              <w:keepLines/>
              <w:tabs>
                <w:tab w:val="clear" w:pos="1418"/>
                <w:tab w:val="clear" w:pos="4678"/>
                <w:tab w:val="clear" w:pos="5954"/>
                <w:tab w:val="clear" w:pos="7088"/>
              </w:tabs>
              <w:jc w:val="center"/>
            </w:pPr>
          </w:p>
        </w:tc>
      </w:tr>
      <w:tr w:rsidR="00356B16" w14:paraId="574BD259" w14:textId="77777777" w:rsidTr="00471C0C">
        <w:trPr>
          <w:jc w:val="center"/>
        </w:trPr>
        <w:tc>
          <w:tcPr>
            <w:tcW w:w="4649" w:type="dxa"/>
            <w:shd w:val="clear" w:color="auto" w:fill="auto"/>
            <w:vAlign w:val="center"/>
          </w:tcPr>
          <w:p w14:paraId="7D119F73" w14:textId="77777777" w:rsidR="00356B16" w:rsidRDefault="00356B16" w:rsidP="00D95853">
            <w:pPr>
              <w:keepNext/>
              <w:keepLines/>
              <w:jc w:val="left"/>
            </w:pPr>
          </w:p>
        </w:tc>
        <w:tc>
          <w:tcPr>
            <w:tcW w:w="1842" w:type="dxa"/>
            <w:shd w:val="clear" w:color="auto" w:fill="auto"/>
          </w:tcPr>
          <w:p w14:paraId="7FE6E0D2" w14:textId="77777777" w:rsidR="00356B16" w:rsidRDefault="00356B16" w:rsidP="00D95853">
            <w:pPr>
              <w:keepNext/>
              <w:keepLines/>
              <w:tabs>
                <w:tab w:val="clear" w:pos="1418"/>
                <w:tab w:val="clear" w:pos="4678"/>
                <w:tab w:val="clear" w:pos="5954"/>
                <w:tab w:val="clear" w:pos="7088"/>
              </w:tabs>
              <w:jc w:val="center"/>
            </w:pPr>
          </w:p>
        </w:tc>
      </w:tr>
      <w:tr w:rsidR="00356B16" w14:paraId="0F5842DF" w14:textId="77777777" w:rsidTr="00471C0C">
        <w:trPr>
          <w:jc w:val="center"/>
        </w:trPr>
        <w:tc>
          <w:tcPr>
            <w:tcW w:w="4649" w:type="dxa"/>
            <w:shd w:val="clear" w:color="auto" w:fill="auto"/>
            <w:vAlign w:val="center"/>
          </w:tcPr>
          <w:p w14:paraId="08AD82A5" w14:textId="77777777" w:rsidR="00356B16" w:rsidRDefault="00356B16" w:rsidP="00D95853">
            <w:pPr>
              <w:keepNext/>
              <w:keepLines/>
              <w:jc w:val="left"/>
            </w:pPr>
          </w:p>
        </w:tc>
        <w:tc>
          <w:tcPr>
            <w:tcW w:w="1842" w:type="dxa"/>
            <w:shd w:val="clear" w:color="auto" w:fill="auto"/>
          </w:tcPr>
          <w:p w14:paraId="5B1352B1" w14:textId="77777777" w:rsidR="00356B16" w:rsidRDefault="00356B16" w:rsidP="00D95853">
            <w:pPr>
              <w:keepNext/>
              <w:keepLines/>
              <w:tabs>
                <w:tab w:val="clear" w:pos="1418"/>
                <w:tab w:val="clear" w:pos="4678"/>
                <w:tab w:val="clear" w:pos="5954"/>
                <w:tab w:val="clear" w:pos="7088"/>
              </w:tabs>
              <w:jc w:val="center"/>
            </w:pPr>
          </w:p>
        </w:tc>
      </w:tr>
      <w:tr w:rsidR="00356B16" w14:paraId="0B2018BC" w14:textId="77777777" w:rsidTr="00471C0C">
        <w:trPr>
          <w:jc w:val="center"/>
        </w:trPr>
        <w:tc>
          <w:tcPr>
            <w:tcW w:w="4649" w:type="dxa"/>
            <w:shd w:val="clear" w:color="auto" w:fill="auto"/>
            <w:vAlign w:val="center"/>
          </w:tcPr>
          <w:p w14:paraId="44CAB70F" w14:textId="77777777" w:rsidR="00356B16" w:rsidRDefault="00356B16" w:rsidP="00D95853">
            <w:pPr>
              <w:keepNext/>
              <w:keepLines/>
              <w:jc w:val="left"/>
            </w:pPr>
          </w:p>
        </w:tc>
        <w:tc>
          <w:tcPr>
            <w:tcW w:w="1842" w:type="dxa"/>
            <w:shd w:val="clear" w:color="auto" w:fill="auto"/>
          </w:tcPr>
          <w:p w14:paraId="6D37A775" w14:textId="77777777" w:rsidR="00356B16" w:rsidRDefault="00356B16" w:rsidP="00D95853">
            <w:pPr>
              <w:keepNext/>
              <w:keepLines/>
              <w:tabs>
                <w:tab w:val="clear" w:pos="1418"/>
                <w:tab w:val="clear" w:pos="4678"/>
                <w:tab w:val="clear" w:pos="5954"/>
                <w:tab w:val="clear" w:pos="7088"/>
              </w:tabs>
              <w:jc w:val="center"/>
            </w:pPr>
          </w:p>
        </w:tc>
      </w:tr>
      <w:tr w:rsidR="00356B16" w14:paraId="383C3039" w14:textId="77777777" w:rsidTr="00471C0C">
        <w:trPr>
          <w:jc w:val="center"/>
        </w:trPr>
        <w:tc>
          <w:tcPr>
            <w:tcW w:w="4649" w:type="dxa"/>
            <w:shd w:val="clear" w:color="auto" w:fill="auto"/>
            <w:vAlign w:val="center"/>
          </w:tcPr>
          <w:p w14:paraId="6252BE38" w14:textId="77777777" w:rsidR="00356B16" w:rsidRDefault="00356B16" w:rsidP="00D95853">
            <w:pPr>
              <w:keepNext/>
              <w:keepLines/>
              <w:jc w:val="left"/>
            </w:pPr>
          </w:p>
        </w:tc>
        <w:tc>
          <w:tcPr>
            <w:tcW w:w="1842" w:type="dxa"/>
            <w:shd w:val="clear" w:color="auto" w:fill="auto"/>
          </w:tcPr>
          <w:p w14:paraId="20FD80A0" w14:textId="77777777" w:rsidR="00356B16" w:rsidRDefault="00356B16" w:rsidP="00D95853">
            <w:pPr>
              <w:keepNext/>
              <w:keepLines/>
              <w:tabs>
                <w:tab w:val="clear" w:pos="1418"/>
                <w:tab w:val="clear" w:pos="4678"/>
                <w:tab w:val="clear" w:pos="5954"/>
                <w:tab w:val="clear" w:pos="7088"/>
              </w:tabs>
              <w:jc w:val="center"/>
            </w:pPr>
          </w:p>
        </w:tc>
      </w:tr>
      <w:tr w:rsidR="00356B16" w14:paraId="4B98E1B1" w14:textId="77777777" w:rsidTr="00471C0C">
        <w:trPr>
          <w:jc w:val="center"/>
        </w:trPr>
        <w:tc>
          <w:tcPr>
            <w:tcW w:w="4649" w:type="dxa"/>
            <w:shd w:val="clear" w:color="auto" w:fill="auto"/>
            <w:vAlign w:val="center"/>
          </w:tcPr>
          <w:p w14:paraId="064586F7" w14:textId="77777777" w:rsidR="00356B16" w:rsidRDefault="00356B16" w:rsidP="00D95853">
            <w:pPr>
              <w:keepNext/>
              <w:keepLines/>
              <w:jc w:val="left"/>
            </w:pPr>
          </w:p>
        </w:tc>
        <w:tc>
          <w:tcPr>
            <w:tcW w:w="1842" w:type="dxa"/>
            <w:shd w:val="clear" w:color="auto" w:fill="auto"/>
          </w:tcPr>
          <w:p w14:paraId="1D366A4E" w14:textId="77777777" w:rsidR="00356B16" w:rsidRDefault="00356B16" w:rsidP="00D95853">
            <w:pPr>
              <w:keepNext/>
              <w:keepLines/>
              <w:tabs>
                <w:tab w:val="clear" w:pos="1418"/>
                <w:tab w:val="clear" w:pos="4678"/>
                <w:tab w:val="clear" w:pos="5954"/>
                <w:tab w:val="clear" w:pos="7088"/>
              </w:tabs>
              <w:jc w:val="center"/>
            </w:pP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D95853">
            <w:pPr>
              <w:keepNext/>
              <w:keepLines/>
              <w:jc w:val="left"/>
              <w:rPr>
                <w:b/>
                <w:sz w:val="22"/>
              </w:rPr>
            </w:pPr>
            <w:r w:rsidRPr="00471C0C">
              <w:rPr>
                <w:b/>
                <w:sz w:val="22"/>
              </w:rPr>
              <w:t>TOTAL</w:t>
            </w:r>
          </w:p>
        </w:tc>
        <w:tc>
          <w:tcPr>
            <w:tcW w:w="1842" w:type="dxa"/>
            <w:shd w:val="clear" w:color="auto" w:fill="E7E6E6" w:themeFill="background2"/>
          </w:tcPr>
          <w:p w14:paraId="7C15310F" w14:textId="77777777" w:rsidR="00356B16" w:rsidRPr="00471C0C" w:rsidRDefault="00356B16" w:rsidP="00D95853">
            <w:pPr>
              <w:keepNext/>
              <w:keepLines/>
              <w:tabs>
                <w:tab w:val="clear" w:pos="1418"/>
                <w:tab w:val="clear" w:pos="4678"/>
                <w:tab w:val="clear" w:pos="5954"/>
                <w:tab w:val="clear" w:pos="7088"/>
              </w:tabs>
              <w:jc w:val="center"/>
              <w:rPr>
                <w:sz w:val="22"/>
              </w:rPr>
            </w:pP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0A7889D" w14:textId="07143BCB" w:rsidR="002F183F" w:rsidRPr="00F4050E" w:rsidRDefault="002F183F" w:rsidP="002F183F">
      <w:pPr>
        <w:pStyle w:val="GuidelineB0"/>
      </w:pPr>
      <w:r w:rsidRPr="00F4050E">
        <w:t>Provide an estimate of the</w:t>
      </w:r>
      <w:r>
        <w:t xml:space="preserve"> </w:t>
      </w:r>
      <w:r w:rsidR="00C35B8E">
        <w:t xml:space="preserve">maximum </w:t>
      </w:r>
      <w:r w:rsidR="00C35B8E" w:rsidRPr="00F4050E">
        <w:t>budget</w:t>
      </w:r>
      <w:r w:rsidRPr="00F4050E">
        <w:t xml:space="preserve"> to reimburse the real </w:t>
      </w:r>
      <w:r>
        <w:t xml:space="preserve">cost </w:t>
      </w:r>
      <w:r w:rsidRPr="00F4050E">
        <w:t>for travels</w:t>
      </w:r>
      <w:r w:rsidR="00C35B8E">
        <w:t xml:space="preserve"> </w:t>
      </w:r>
      <w:r w:rsidR="003F0E01">
        <w:t xml:space="preserve">where Service Provider </w:t>
      </w:r>
      <w:r w:rsidR="00C35B8E">
        <w:t>attendance is requested by ETSI</w:t>
      </w:r>
      <w:r w:rsidRPr="00F4050E">
        <w:t>.</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2B6ED65F" w14:textId="116E8A4C" w:rsidR="002F183F" w:rsidRDefault="002F183F" w:rsidP="002F183F">
      <w:pPr>
        <w:pStyle w:val="Guideline"/>
      </w:pPr>
      <w:r>
        <w:t xml:space="preserve">Indicate here if the </w:t>
      </w:r>
      <w:r w:rsidR="0093472E">
        <w:t>TTF</w:t>
      </w:r>
      <w:r>
        <w:t xml:space="preserve"> budget requires other cost than manpower and travel.</w:t>
      </w:r>
    </w:p>
    <w:p w14:paraId="5622C810" w14:textId="77777777" w:rsidR="002F183F" w:rsidRDefault="002F183F" w:rsidP="002F183F">
      <w:pPr>
        <w:pStyle w:val="Guideline"/>
      </w:pPr>
      <w:r>
        <w:t>If not applicable, you can remove this section.</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77777777" w:rsidR="00B92934" w:rsidRPr="004044D7" w:rsidRDefault="00B92934" w:rsidP="00B92934">
      <w:pPr>
        <w:pStyle w:val="Heading2"/>
      </w:pPr>
      <w:r>
        <w:t xml:space="preserve">Organization of the work </w:t>
      </w:r>
    </w:p>
    <w:p w14:paraId="33AAF166" w14:textId="2E3F6C90" w:rsidR="00B92934" w:rsidRDefault="00B92934" w:rsidP="00B92934">
      <w:pPr>
        <w:pStyle w:val="GuidelineB0"/>
      </w:pPr>
      <w:r w:rsidRPr="00E753B7">
        <w:t xml:space="preserve">Describe how the </w:t>
      </w:r>
      <w:r>
        <w:t>work will be organized.</w:t>
      </w:r>
    </w:p>
    <w:p w14:paraId="3FFBA9E6" w14:textId="77777777" w:rsidR="00B92934" w:rsidRDefault="00B92934" w:rsidP="00B92934">
      <w:pPr>
        <w:pStyle w:val="GuidelineB0"/>
      </w:pPr>
      <w:r w:rsidRPr="00E64D4E">
        <w:t>Indicate whether a Steering Group</w:t>
      </w:r>
      <w:r>
        <w:t xml:space="preserve"> (SG)</w:t>
      </w:r>
      <w:r w:rsidRPr="00E64D4E">
        <w:t xml:space="preserve"> will be created, its role, </w:t>
      </w:r>
      <w:r>
        <w:t xml:space="preserve">the </w:t>
      </w:r>
      <w:r w:rsidRPr="00E64D4E">
        <w:t xml:space="preserve">frequency of </w:t>
      </w:r>
      <w:r>
        <w:t xml:space="preserve">the </w:t>
      </w:r>
      <w:r w:rsidRPr="00E64D4E">
        <w:t xml:space="preserve">meetings, </w:t>
      </w:r>
      <w:r>
        <w:t>participants to this SG</w:t>
      </w:r>
    </w:p>
    <w:p w14:paraId="34B1C036" w14:textId="06997A1C" w:rsidR="00B92934" w:rsidRDefault="00B92934" w:rsidP="00B92934">
      <w:pPr>
        <w:pStyle w:val="GuidelineB0"/>
      </w:pPr>
      <w:r>
        <w:t xml:space="preserve">Identify how the relation with other </w:t>
      </w:r>
      <w:r w:rsidR="000734C4">
        <w:t xml:space="preserve">Reference Bodies </w:t>
      </w:r>
      <w:r>
        <w:t>and stakeholders will be managed, the interfaces and the critical timing.</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3876DE51" w14:textId="6B26D0C0" w:rsidR="003A1AC2" w:rsidRDefault="003A1AC2" w:rsidP="00211930">
      <w:pPr>
        <w:pStyle w:val="Guideline"/>
      </w:pPr>
      <w:r>
        <w:t>List</w:t>
      </w:r>
      <w:r w:rsidR="00AB2879">
        <w:t xml:space="preserve"> the other ETSI </w:t>
      </w:r>
      <w:r w:rsidR="000734C4">
        <w:t>Reference Bodies</w:t>
      </w:r>
      <w:r w:rsidR="00AB2879">
        <w:t xml:space="preserve"> that</w:t>
      </w:r>
      <w:r w:rsidR="00133C8A" w:rsidRPr="00AB2879">
        <w:t xml:space="preserve"> </w:t>
      </w:r>
      <w:r>
        <w:t>must</w:t>
      </w:r>
      <w:r w:rsidR="00133C8A" w:rsidRPr="00AB2879">
        <w:t xml:space="preserve"> be involved in this acti</w:t>
      </w:r>
      <w:r>
        <w:t>vity.</w:t>
      </w:r>
    </w:p>
    <w:p w14:paraId="433B8C30" w14:textId="2AF9248A" w:rsidR="00133C8A" w:rsidRPr="00AB2879" w:rsidRDefault="003A1AC2" w:rsidP="00211930">
      <w:pPr>
        <w:pStyle w:val="Guideline"/>
      </w:pPr>
      <w:r>
        <w:t xml:space="preserve">This </w:t>
      </w:r>
      <w:r w:rsidR="00BE7F16">
        <w:t>is</w:t>
      </w:r>
      <w:r>
        <w:t xml:space="preserve"> more than a “bullet points” list.  For each </w:t>
      </w:r>
      <w:r w:rsidR="000734C4">
        <w:t xml:space="preserve">Reference Body </w:t>
      </w:r>
      <w:r>
        <w:t xml:space="preserve">you must identify their role </w:t>
      </w:r>
      <w:r w:rsidR="00BE7F16">
        <w:t>(e.g. consultation, dissemination, joint review/approval of deliverables, etc.)</w:t>
      </w:r>
      <w:r w:rsidR="00133C8A" w:rsidRPr="00AB2879">
        <w:t>.</w:t>
      </w:r>
      <w:r w:rsidR="00BE7F16">
        <w:t xml:space="preserve">  The interactions with these </w:t>
      </w:r>
      <w:r w:rsidR="000734C4">
        <w:t>Reference Bodie</w:t>
      </w:r>
      <w:r w:rsidR="00BE7F16">
        <w:t>s must be specified in the Work Plan.</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77777777" w:rsidR="00AB2879" w:rsidRPr="00AB2879" w:rsidRDefault="00AB2879" w:rsidP="00211930">
      <w:pPr>
        <w:pStyle w:val="Guideline"/>
      </w:pPr>
      <w:r>
        <w:t xml:space="preserve">Provide the same information concerning </w:t>
      </w:r>
      <w:r w:rsidR="00BE7F16">
        <w:t xml:space="preserve">stakeholder inside and outside ETSI (e.g. </w:t>
      </w:r>
      <w:r>
        <w:t xml:space="preserve">other </w:t>
      </w:r>
      <w:r w:rsidR="00BE7F16">
        <w:t>Standard O</w:t>
      </w:r>
      <w:r>
        <w:t>rganizations,</w:t>
      </w:r>
      <w:r w:rsidRPr="00AB2879">
        <w:t xml:space="preserve"> </w:t>
      </w:r>
      <w:r w:rsidR="00BE7F16">
        <w:t xml:space="preserve">governmental institutions, industry partners, </w:t>
      </w:r>
      <w:r w:rsidRPr="00AB2879">
        <w:t>research projects</w:t>
      </w:r>
      <w:r w:rsidR="00BE7F16">
        <w:t>, Universities etc.)</w:t>
      </w:r>
      <w:r w:rsidRPr="00AB2879">
        <w:t>.</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5"/>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40A503F" w14:textId="27ECC8A6" w:rsidR="00C45E35" w:rsidRDefault="00CC2455" w:rsidP="001E70D8">
      <w:pPr>
        <w:pStyle w:val="GuidelineB0"/>
      </w:pPr>
      <w:r>
        <w:t>This section must provide detailed information on the ta</w:t>
      </w:r>
      <w:r w:rsidR="00934D81">
        <w:t xml:space="preserve">sks to be performed by the </w:t>
      </w:r>
      <w:r w:rsidR="00F27814">
        <w:t>TTF</w:t>
      </w:r>
      <w:r w:rsidR="00C45E35">
        <w:t>.</w:t>
      </w:r>
    </w:p>
    <w:p w14:paraId="2AB55170" w14:textId="1BF14977" w:rsidR="00C45E35" w:rsidRDefault="001D044E" w:rsidP="001E70D8">
      <w:pPr>
        <w:pStyle w:val="GuidelineB0"/>
      </w:pPr>
      <w:r>
        <w:t xml:space="preserve">The suggested structure “Objectives/Input/Output/Interactions/Resources” may be consolidated in </w:t>
      </w:r>
      <w:r w:rsidR="00767A4B">
        <w:t>the table below</w:t>
      </w:r>
      <w:r>
        <w:t>, if this can provide the equivalent information.  However, t</w:t>
      </w:r>
      <w:r w:rsidR="00C45E35">
        <w:t xml:space="preserve">ask </w:t>
      </w:r>
      <w:r>
        <w:t xml:space="preserve">descriptions </w:t>
      </w:r>
      <w:r w:rsidR="00C45E35">
        <w:t>cannot be</w:t>
      </w:r>
      <w:r w:rsidR="004F3503">
        <w:t xml:space="preserve"> limited to text such </w:t>
      </w:r>
      <w:r w:rsidR="0093472E">
        <w:t>as “</w:t>
      </w:r>
      <w:r>
        <w:t>producing</w:t>
      </w:r>
      <w:r w:rsidR="00C45E35">
        <w:t xml:space="preserve"> the stable draft”: these are milestones.</w:t>
      </w:r>
    </w:p>
    <w:p w14:paraId="3CDDA349" w14:textId="1DCE0A5A" w:rsidR="004F3503" w:rsidRDefault="004F3503" w:rsidP="001E70D8">
      <w:pPr>
        <w:pStyle w:val="GuidelineB0"/>
      </w:pPr>
    </w:p>
    <w:p w14:paraId="046FE894" w14:textId="28D0BE49" w:rsidR="004F3503" w:rsidRPr="00404200" w:rsidRDefault="004F3503" w:rsidP="001E70D8">
      <w:pPr>
        <w:pStyle w:val="GuidelineB0"/>
        <w:rPr>
          <w:color w:val="FF0000"/>
        </w:rPr>
      </w:pPr>
      <w:r w:rsidRPr="00404200">
        <w:rPr>
          <w:color w:val="FF0000"/>
        </w:rPr>
        <w:t>Fill-in as many tables as tasks needed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6FD142DB"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p>
        </w:tc>
        <w:tc>
          <w:tcPr>
            <w:tcW w:w="8109" w:type="dxa"/>
            <w:shd w:val="clear" w:color="auto" w:fill="EDEDED" w:themeFill="accent3" w:themeFillTint="33"/>
          </w:tcPr>
          <w:p w14:paraId="643BE4CB" w14:textId="77777777" w:rsidR="00F958FE" w:rsidRPr="00471C0C" w:rsidRDefault="00F958FE" w:rsidP="00F958FE">
            <w:pPr>
              <w:pStyle w:val="GuidelineB0"/>
              <w:rPr>
                <w:b/>
                <w:sz w:val="22"/>
              </w:rPr>
            </w:pPr>
            <w:r w:rsidRPr="00471C0C">
              <w:rPr>
                <w:b/>
                <w:sz w:val="22"/>
              </w:rPr>
              <w:t>Title</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7777777" w:rsidR="00F958FE" w:rsidRDefault="00F958FE" w:rsidP="00F958FE">
            <w:pPr>
              <w:pStyle w:val="GuidelineIndent"/>
              <w:ind w:left="0"/>
            </w:pPr>
            <w:r>
              <w:t>Indicate here the objective of the task in general terms.</w:t>
            </w:r>
          </w:p>
          <w:p w14:paraId="12507479" w14:textId="77777777" w:rsidR="00F958FE" w:rsidRDefault="00F958FE" w:rsidP="00F958FE">
            <w:pPr>
              <w:pStyle w:val="GuidelineB0"/>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77777777" w:rsidR="00F958FE" w:rsidRDefault="00F958FE" w:rsidP="00F958FE">
            <w:pPr>
              <w:pStyle w:val="GuidelineIndent"/>
              <w:ind w:left="0"/>
            </w:pPr>
            <w:r>
              <w:t>Identify the base documents/information/decisions that are required to perform the task and, if these are not yet available, at which point in time they are needed and who is responsible to provide.</w:t>
            </w:r>
          </w:p>
          <w:p w14:paraId="2688A641" w14:textId="77777777" w:rsidR="00F958FE" w:rsidRDefault="00F958FE" w:rsidP="00F958FE">
            <w:pPr>
              <w:pStyle w:val="GuidelineB0"/>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77777777" w:rsidR="00F958FE" w:rsidRDefault="00F958FE" w:rsidP="00F958FE">
            <w:pPr>
              <w:pStyle w:val="GuidelineIndent"/>
              <w:ind w:left="0"/>
            </w:pPr>
            <w:r>
              <w:t>Give a precise description the outcome of the task in qualitative and, if possible, quantitative terms.</w:t>
            </w:r>
          </w:p>
          <w:p w14:paraId="5E76167D" w14:textId="77777777" w:rsidR="00F958FE" w:rsidRDefault="00F958FE" w:rsidP="00F958FE">
            <w:pPr>
              <w:pStyle w:val="GuidelineB0"/>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59C64BA2" w:rsidR="00F958FE" w:rsidRDefault="00F958FE" w:rsidP="00F958FE">
            <w:pPr>
              <w:pStyle w:val="GuidelineIndent"/>
              <w:ind w:left="0"/>
            </w:pPr>
            <w:r>
              <w:t xml:space="preserve">Identify the interactions with the </w:t>
            </w:r>
            <w:r w:rsidR="000734C4">
              <w:t>Reference Body</w:t>
            </w:r>
            <w:r>
              <w:t xml:space="preserve"> and other stakeholders that are required to complete the task (e.g. guidance, consultation, approval).</w:t>
            </w:r>
          </w:p>
          <w:p w14:paraId="64E1F355" w14:textId="77777777" w:rsidR="00F958FE" w:rsidRDefault="00F958FE" w:rsidP="00F958FE">
            <w:pPr>
              <w:pStyle w:val="GuidelineB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47EE303" w14:textId="77777777" w:rsidR="00F958FE" w:rsidRDefault="00F958FE" w:rsidP="00F958FE">
            <w:pPr>
              <w:pStyle w:val="GuidelineIndent"/>
              <w:ind w:left="0"/>
            </w:pPr>
            <w:r>
              <w:t>Identify the type of resources and expertise required.</w:t>
            </w:r>
          </w:p>
          <w:p w14:paraId="12D7A2E3" w14:textId="77777777" w:rsidR="00F958FE" w:rsidRDefault="00F958FE" w:rsidP="00F958FE">
            <w:pPr>
              <w:pStyle w:val="GuidelineIndent"/>
              <w:ind w:left="0"/>
            </w:pPr>
            <w:r>
              <w:t>The estimated effort may be summarized in the task table below.</w:t>
            </w: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51FF4BCB" w14:textId="77777777" w:rsidR="00403DC4" w:rsidRDefault="00403DC4" w:rsidP="00403DC4">
      <w:pPr>
        <w:pStyle w:val="GuidelineB1"/>
      </w:pPr>
      <w:r>
        <w:t xml:space="preserve">Objectives to be achieved </w:t>
      </w:r>
      <w:r w:rsidR="00A54C52">
        <w:t>(e.g. maturity and content of the deliverables)</w:t>
      </w:r>
    </w:p>
    <w:p w14:paraId="4A0B7C31" w14:textId="54033D7C" w:rsidR="00403DC4" w:rsidRDefault="001D044E" w:rsidP="00403DC4">
      <w:pPr>
        <w:pStyle w:val="GuidelineB1"/>
      </w:pPr>
      <w:r>
        <w:t xml:space="preserve">Date </w:t>
      </w:r>
      <w:r w:rsidR="004F3503">
        <w:t xml:space="preserve">at which the </w:t>
      </w:r>
      <w:r>
        <w:t xml:space="preserve">documents must be available (e.g. with respect to the </w:t>
      </w:r>
      <w:r w:rsidR="000734C4">
        <w:t>Reference Body</w:t>
      </w:r>
      <w:r>
        <w:t xml:space="preserve"> meeting calendar)</w:t>
      </w:r>
      <w:r w:rsidR="00403DC4">
        <w:t>.</w:t>
      </w:r>
    </w:p>
    <w:p w14:paraId="35A84EA6" w14:textId="402F7337" w:rsidR="00403DC4" w:rsidRDefault="001D044E" w:rsidP="00403DC4">
      <w:pPr>
        <w:pStyle w:val="GuidelineB1"/>
      </w:pPr>
      <w:r>
        <w:t>Level of a</w:t>
      </w:r>
      <w:r w:rsidR="00403DC4">
        <w:t>pproval required</w:t>
      </w:r>
    </w:p>
    <w:p w14:paraId="7763E556" w14:textId="77777777" w:rsidR="00404200" w:rsidRDefault="00404200" w:rsidP="00404200">
      <w:pPr>
        <w:pStyle w:val="GuidelineB1"/>
        <w:numPr>
          <w:ilvl w:val="0"/>
          <w:numId w:val="0"/>
        </w:numPr>
        <w:ind w:left="568"/>
      </w:pPr>
    </w:p>
    <w:p w14:paraId="14DE10E5" w14:textId="4E6204B6" w:rsidR="00B446F0" w:rsidRPr="00404200" w:rsidRDefault="00B7194C" w:rsidP="00404200">
      <w:pPr>
        <w:pStyle w:val="GuidelineB1"/>
        <w:numPr>
          <w:ilvl w:val="0"/>
          <w:numId w:val="0"/>
        </w:numPr>
        <w:rPr>
          <w:color w:val="FF0000"/>
        </w:rPr>
      </w:pPr>
      <w:r w:rsidRPr="00404200">
        <w:rPr>
          <w:color w:val="FF0000"/>
        </w:rPr>
        <w:t xml:space="preserve">Reproduce as much milestones as </w:t>
      </w:r>
      <w:r w:rsidR="00F27814" w:rsidRPr="00404200">
        <w:rPr>
          <w:color w:val="FF0000"/>
        </w:rPr>
        <w:t>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6131" w:type="dxa"/>
            <w:shd w:val="clear" w:color="auto" w:fill="auto"/>
          </w:tcPr>
          <w:p w14:paraId="74F74D5D" w14:textId="7E2ECB1B" w:rsidR="003F0E01" w:rsidRPr="00471C0C" w:rsidRDefault="003F0E01" w:rsidP="00471C0C">
            <w:pPr>
              <w:pStyle w:val="GuidelineB0"/>
              <w:jc w:val="left"/>
            </w:pPr>
            <w:r>
              <w:t xml:space="preserve">General </w:t>
            </w:r>
            <w:r w:rsidRPr="00471C0C">
              <w:t>Description</w:t>
            </w:r>
          </w:p>
        </w:tc>
        <w:tc>
          <w:tcPr>
            <w:tcW w:w="1553" w:type="dxa"/>
            <w:vMerge w:val="restart"/>
            <w:shd w:val="clear" w:color="auto" w:fill="auto"/>
            <w:vAlign w:val="center"/>
          </w:tcPr>
          <w:p w14:paraId="4E5FE47E" w14:textId="4B77157C" w:rsidR="003F0E01" w:rsidRPr="006A58EA" w:rsidRDefault="003F0E01">
            <w:pPr>
              <w:pStyle w:val="GuidelineB0"/>
              <w:jc w:val="center"/>
              <w:rPr>
                <w:b/>
                <w:i w:val="0"/>
              </w:rPr>
            </w:pPr>
            <w:r>
              <w:t>20YY-MM-DD</w:t>
            </w:r>
          </w:p>
        </w:tc>
      </w:tr>
      <w:tr w:rsidR="003F0E01" w14:paraId="76D2FD8A" w14:textId="77777777" w:rsidTr="00471C0C">
        <w:tc>
          <w:tcPr>
            <w:tcW w:w="1377" w:type="dxa"/>
            <w:shd w:val="clear" w:color="auto" w:fill="auto"/>
          </w:tcPr>
          <w:p w14:paraId="74F0B052" w14:textId="77777777" w:rsidR="003F0E01" w:rsidRDefault="003F0E01" w:rsidP="0094632F">
            <w:pPr>
              <w:pStyle w:val="GuidelineB0"/>
            </w:pPr>
            <w:r>
              <w:t>Reference Body Deliverable</w:t>
            </w:r>
          </w:p>
        </w:tc>
        <w:tc>
          <w:tcPr>
            <w:tcW w:w="6131" w:type="dxa"/>
            <w:shd w:val="clear" w:color="auto" w:fill="auto"/>
          </w:tcPr>
          <w:p w14:paraId="50A92D67" w14:textId="77777777" w:rsidR="003F0E01" w:rsidRDefault="003F0E01" w:rsidP="0094632F">
            <w:pPr>
              <w:pStyle w:val="GuidelineB0"/>
            </w:pPr>
            <w:r>
              <w:t>Early/Stable Draft approved by Reference Body</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471C0C">
        <w:tc>
          <w:tcPr>
            <w:tcW w:w="1377" w:type="dxa"/>
            <w:shd w:val="clear" w:color="auto" w:fill="auto"/>
          </w:tcPr>
          <w:p w14:paraId="17559564" w14:textId="77777777" w:rsidR="003F0E01" w:rsidRDefault="003F0E01" w:rsidP="0094632F">
            <w:pPr>
              <w:pStyle w:val="GuidelineB0"/>
            </w:pPr>
            <w:r>
              <w:t>ETSI Deliverable</w:t>
            </w:r>
          </w:p>
        </w:tc>
        <w:tc>
          <w:tcPr>
            <w:tcW w:w="6131" w:type="dxa"/>
            <w:shd w:val="clear" w:color="auto" w:fill="auto"/>
          </w:tcPr>
          <w:p w14:paraId="4950D35A" w14:textId="77777777" w:rsidR="003F0E01" w:rsidRDefault="003F0E01" w:rsidP="0094632F">
            <w:pPr>
              <w:pStyle w:val="GuidelineB0"/>
            </w:pPr>
            <w:r>
              <w:t>Progress/Interim/Final Report approved by Reference Body</w:t>
            </w:r>
          </w:p>
        </w:tc>
        <w:tc>
          <w:tcPr>
            <w:tcW w:w="1553" w:type="dxa"/>
            <w:vMerge/>
            <w:shd w:val="clear" w:color="auto" w:fill="auto"/>
          </w:tcPr>
          <w:p w14:paraId="3CC8FC1C" w14:textId="77777777" w:rsidR="003F0E01" w:rsidRDefault="003F0E01" w:rsidP="0094632F">
            <w:pPr>
              <w:pStyle w:val="GuidelineB0"/>
            </w:pPr>
          </w:p>
        </w:tc>
      </w:tr>
    </w:tbl>
    <w:p w14:paraId="49686D9D" w14:textId="77777777" w:rsidR="006E13A0" w:rsidRDefault="006E13A0" w:rsidP="00616732">
      <w:pPr>
        <w:pStyle w:val="GuidelineB0"/>
      </w:pPr>
    </w:p>
    <w:p w14:paraId="6E1D6E88" w14:textId="4044EA29" w:rsidR="00B446F0" w:rsidRDefault="006E13A0" w:rsidP="00616732">
      <w:pPr>
        <w:pStyle w:val="GuidelineB0"/>
      </w:pPr>
      <w:r>
        <w:t>E</w:t>
      </w:r>
      <w:r w:rsidR="00B446F0">
        <w:t>xamples:</w:t>
      </w:r>
    </w:p>
    <w:p w14:paraId="7A26519C" w14:textId="6799C3F5" w:rsidR="00B446F0" w:rsidRDefault="00616732" w:rsidP="00B446F0">
      <w:pPr>
        <w:pStyle w:val="Guideline"/>
      </w:pPr>
      <w:r>
        <w:t>Task</w:t>
      </w:r>
      <w:r w:rsidR="003712C2">
        <w:t>s</w:t>
      </w:r>
      <w:r>
        <w:t xml:space="preserve"> 1 </w:t>
      </w:r>
      <w:r w:rsidR="003712C2">
        <w:t xml:space="preserve">and 2 </w:t>
      </w:r>
      <w:r>
        <w:t>completed</w:t>
      </w:r>
      <w:r w:rsidR="003712C2">
        <w:t>.  E</w:t>
      </w:r>
      <w:r w:rsidRPr="00460477">
        <w:t>arly draft</w:t>
      </w:r>
      <w:r>
        <w:t xml:space="preserve"> XX/X-XXX available for review</w:t>
      </w:r>
      <w:r w:rsidRPr="00460477">
        <w:t xml:space="preserve">.  </w:t>
      </w:r>
      <w:r w:rsidR="003712C2" w:rsidRPr="00460477">
        <w:t xml:space="preserve">Progress Report approved by </w:t>
      </w:r>
      <w:r w:rsidR="00404200">
        <w:t xml:space="preserve">Ref. </w:t>
      </w:r>
      <w:proofErr w:type="spellStart"/>
      <w:r w:rsidR="00404200">
        <w:t>Body</w:t>
      </w:r>
      <w:r w:rsidR="003712C2" w:rsidRPr="00460477">
        <w:t>#</w:t>
      </w:r>
      <w:r w:rsidR="003712C2">
        <w:t>XX</w:t>
      </w:r>
      <w:proofErr w:type="spellEnd"/>
      <w:r w:rsidR="003712C2" w:rsidRPr="00460477">
        <w:t xml:space="preserve"> (</w:t>
      </w:r>
      <w:r w:rsidR="003712C2">
        <w:t xml:space="preserve">date).  </w:t>
      </w:r>
      <w:r w:rsidR="00B446F0" w:rsidRPr="00460477">
        <w:t xml:space="preserve">Documents must be uploaded on the </w:t>
      </w:r>
      <w:r w:rsidR="00404200">
        <w:t>Ref. Body</w:t>
      </w:r>
      <w:r w:rsidR="00404200" w:rsidRPr="00460477">
        <w:t xml:space="preserve"> </w:t>
      </w:r>
      <w:proofErr w:type="spellStart"/>
      <w:r w:rsidR="00B446F0" w:rsidRPr="00460477">
        <w:t>docbox</w:t>
      </w:r>
      <w:proofErr w:type="spellEnd"/>
      <w:r w:rsidR="00B446F0" w:rsidRPr="00460477">
        <w:t xml:space="preserve"> at least two weeks before the start of the </w:t>
      </w:r>
      <w:r w:rsidR="00404200">
        <w:t>Ref. Body</w:t>
      </w:r>
      <w:r w:rsidR="00404200" w:rsidRPr="00460477">
        <w:t xml:space="preserve"> </w:t>
      </w:r>
      <w:r w:rsidR="00B446F0" w:rsidRPr="00460477">
        <w:t>plenary.</w:t>
      </w:r>
    </w:p>
    <w:p w14:paraId="2B15D7C4" w14:textId="77777777" w:rsidR="00B446F0" w:rsidRDefault="00B446F0" w:rsidP="00B446F0">
      <w:pPr>
        <w:pStyle w:val="Guideline"/>
      </w:pPr>
    </w:p>
    <w:p w14:paraId="00034B0E" w14:textId="378A1E3B" w:rsidR="00616732" w:rsidRDefault="00616732" w:rsidP="00B446F0">
      <w:pPr>
        <w:pStyle w:val="Guideline"/>
      </w:pPr>
      <w:r>
        <w:t xml:space="preserve">Final draft XX/X-XXXX approved </w:t>
      </w:r>
      <w:r w:rsidRPr="00460477">
        <w:t xml:space="preserve">by </w:t>
      </w:r>
      <w:r w:rsidR="00404200">
        <w:t>Ref. Body</w:t>
      </w:r>
      <w:r w:rsidR="00404200" w:rsidRPr="00460477">
        <w:t xml:space="preserve"> </w:t>
      </w:r>
      <w:r w:rsidRPr="00460477">
        <w:t>#</w:t>
      </w:r>
      <w:r>
        <w:t>XX</w:t>
      </w:r>
      <w:r w:rsidRPr="00460477">
        <w:t xml:space="preserve"> (</w:t>
      </w:r>
      <w:r>
        <w:t>date)</w:t>
      </w:r>
      <w:r w:rsidR="003712C2">
        <w:t xml:space="preserve"> and </w:t>
      </w:r>
      <w:r w:rsidR="003712C2" w:rsidRPr="00430FA0">
        <w:t>accepted by the ETSI Secretariat</w:t>
      </w:r>
      <w:r w:rsidR="003712C2">
        <w:t xml:space="preserve"> for publication.</w:t>
      </w:r>
      <w:r w:rsidR="003712C2" w:rsidRPr="003712C2">
        <w:t xml:space="preserve"> </w:t>
      </w:r>
      <w:r w:rsidR="0093472E">
        <w:t>TTF</w:t>
      </w:r>
      <w:r w:rsidR="003712C2">
        <w:t xml:space="preserve"> Final Report approved by</w:t>
      </w:r>
      <w:r w:rsidR="00404200">
        <w:t xml:space="preserve"> Ref. Body</w:t>
      </w:r>
      <w:r w:rsidR="003712C2" w:rsidRPr="00430FA0">
        <w:t>.</w:t>
      </w: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7"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77777777" w:rsidR="004441FF" w:rsidRDefault="004441FF" w:rsidP="00F958FE">
            <w:pPr>
              <w:keepNext/>
              <w:keepLines/>
              <w:jc w:val="left"/>
            </w:pPr>
          </w:p>
        </w:tc>
        <w:tc>
          <w:tcPr>
            <w:tcW w:w="1021" w:type="dxa"/>
          </w:tcPr>
          <w:p w14:paraId="1DB489DA"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3219282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0A26C766" w14:textId="77777777" w:rsidR="004441FF" w:rsidRDefault="004441FF" w:rsidP="00F958FE">
            <w:pPr>
              <w:keepNext/>
              <w:keepLines/>
              <w:tabs>
                <w:tab w:val="clear" w:pos="1418"/>
                <w:tab w:val="clear" w:pos="4678"/>
                <w:tab w:val="clear" w:pos="5954"/>
                <w:tab w:val="clear" w:pos="7088"/>
              </w:tabs>
              <w:jc w:val="center"/>
            </w:pP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77777777" w:rsidR="004441FF" w:rsidRDefault="004441FF" w:rsidP="00F958FE">
            <w:pPr>
              <w:keepNext/>
              <w:keepLines/>
              <w:jc w:val="left"/>
            </w:pPr>
          </w:p>
        </w:tc>
        <w:tc>
          <w:tcPr>
            <w:tcW w:w="1021" w:type="dxa"/>
          </w:tcPr>
          <w:p w14:paraId="17B3F9A1"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6E7C4D4F"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31AEB5E7" w14:textId="77777777" w:rsidR="004441FF" w:rsidRDefault="004441FF" w:rsidP="00F958FE">
            <w:pPr>
              <w:keepNext/>
              <w:keepLines/>
              <w:tabs>
                <w:tab w:val="clear" w:pos="1418"/>
                <w:tab w:val="clear" w:pos="4678"/>
                <w:tab w:val="clear" w:pos="5954"/>
                <w:tab w:val="clear" w:pos="7088"/>
              </w:tabs>
              <w:jc w:val="center"/>
            </w:pP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7777777" w:rsidR="004441FF" w:rsidRDefault="004441FF" w:rsidP="00F958FE">
            <w:pPr>
              <w:keepNext/>
              <w:keepLines/>
              <w:jc w:val="left"/>
            </w:pP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7777777" w:rsidR="004441FF" w:rsidRDefault="004441FF" w:rsidP="00F958FE">
            <w:pPr>
              <w:keepNext/>
              <w:keepLines/>
              <w:jc w:val="center"/>
            </w:pPr>
            <w:r>
              <w:t>T3</w:t>
            </w:r>
          </w:p>
        </w:tc>
        <w:tc>
          <w:tcPr>
            <w:tcW w:w="4649" w:type="dxa"/>
            <w:vAlign w:val="center"/>
          </w:tcPr>
          <w:p w14:paraId="6C29D780" w14:textId="77777777" w:rsidR="004441FF" w:rsidRDefault="004441FF" w:rsidP="00F958FE">
            <w:pPr>
              <w:keepNext/>
              <w:keepLines/>
              <w:jc w:val="left"/>
            </w:pPr>
          </w:p>
        </w:tc>
        <w:tc>
          <w:tcPr>
            <w:tcW w:w="1021" w:type="dxa"/>
          </w:tcPr>
          <w:p w14:paraId="1C3D3074"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72789BC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17FDA9CB" w14:textId="77777777" w:rsidR="004441FF" w:rsidRDefault="004441FF" w:rsidP="00F958FE">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7777777" w:rsidR="004441FF" w:rsidRDefault="004441FF" w:rsidP="00F958FE">
            <w:pPr>
              <w:keepNext/>
              <w:keepLines/>
              <w:jc w:val="center"/>
            </w:pPr>
            <w:r>
              <w:t>T4</w:t>
            </w:r>
          </w:p>
        </w:tc>
        <w:tc>
          <w:tcPr>
            <w:tcW w:w="4649" w:type="dxa"/>
            <w:vAlign w:val="center"/>
          </w:tcPr>
          <w:p w14:paraId="6BC1CFD7" w14:textId="77777777" w:rsidR="004441FF" w:rsidRDefault="004441FF" w:rsidP="00F958FE">
            <w:pPr>
              <w:keepNext/>
              <w:keepLines/>
              <w:jc w:val="left"/>
            </w:pPr>
          </w:p>
        </w:tc>
        <w:tc>
          <w:tcPr>
            <w:tcW w:w="1021" w:type="dxa"/>
          </w:tcPr>
          <w:p w14:paraId="054F6CBC"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530B2510"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6D99BC90" w14:textId="77777777" w:rsidR="004441FF" w:rsidRDefault="004441FF" w:rsidP="00F958FE">
            <w:pPr>
              <w:keepNext/>
              <w:keepLines/>
              <w:tabs>
                <w:tab w:val="clear" w:pos="1418"/>
                <w:tab w:val="clear" w:pos="4678"/>
                <w:tab w:val="clear" w:pos="5954"/>
                <w:tab w:val="clear" w:pos="7088"/>
              </w:tabs>
              <w:jc w:val="center"/>
            </w:pPr>
          </w:p>
        </w:tc>
      </w:tr>
      <w:tr w:rsidR="004441FF" w14:paraId="48963F76" w14:textId="77777777" w:rsidTr="00471C0C">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212F0F56" w:rsidR="004441FF" w:rsidRPr="00471C0C" w:rsidRDefault="003F0E01" w:rsidP="00F958FE">
            <w:pPr>
              <w:keepNext/>
              <w:keepLines/>
              <w:jc w:val="center"/>
              <w:rPr>
                <w:i/>
              </w:rPr>
            </w:pPr>
            <w:r w:rsidRPr="00471C0C">
              <w:rPr>
                <w:i/>
              </w:rPr>
              <w:t>Z</w:t>
            </w:r>
          </w:p>
        </w:tc>
        <w:tc>
          <w:tcPr>
            <w:tcW w:w="4649" w:type="dxa"/>
            <w:shd w:val="clear" w:color="auto" w:fill="FFF2CC" w:themeFill="accent4" w:themeFillTint="33"/>
            <w:vAlign w:val="center"/>
          </w:tcPr>
          <w:p w14:paraId="0D6CE59A" w14:textId="62C0AFA2" w:rsidR="004441FF" w:rsidRDefault="004441FF" w:rsidP="00F958FE">
            <w:pPr>
              <w:keepNext/>
              <w:keepLines/>
              <w:jc w:val="left"/>
            </w:pPr>
            <w:r>
              <w:t xml:space="preserve">Deliverables published, </w:t>
            </w:r>
            <w:r w:rsidR="0093472E">
              <w:t>TTF</w:t>
            </w:r>
            <w:r>
              <w:t xml:space="preserve">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7777777" w:rsidR="004441FF" w:rsidRPr="00471C0C" w:rsidRDefault="004441FF" w:rsidP="00F958FE">
            <w:pPr>
              <w:keepNext/>
              <w:keepLines/>
              <w:tabs>
                <w:tab w:val="clear" w:pos="1418"/>
                <w:tab w:val="clear" w:pos="4678"/>
                <w:tab w:val="clear" w:pos="5954"/>
                <w:tab w:val="clear" w:pos="7088"/>
              </w:tabs>
              <w:jc w:val="center"/>
              <w:rPr>
                <w:b/>
              </w:rPr>
            </w:pP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90858" w14:paraId="40CEF8FC" w14:textId="77777777" w:rsidTr="00471C0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uto"/>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90858" w14:paraId="1454D22F" w14:textId="77777777" w:rsidTr="00471C0C">
        <w:trPr>
          <w:trHeight w:val="238"/>
        </w:trPr>
        <w:tc>
          <w:tcPr>
            <w:tcW w:w="568" w:type="dxa"/>
            <w:shd w:val="clear" w:color="auto" w:fill="auto"/>
            <w:tcMar>
              <w:left w:w="0" w:type="dxa"/>
              <w:right w:w="0" w:type="dxa"/>
            </w:tcMar>
            <w:vAlign w:val="center"/>
          </w:tcPr>
          <w:p w14:paraId="5F32A2BA" w14:textId="77777777" w:rsidR="00F958FE" w:rsidRDefault="00F958FE" w:rsidP="00F82665">
            <w:pPr>
              <w:keepNext/>
              <w:keepLines/>
              <w:jc w:val="center"/>
            </w:pPr>
            <w:r>
              <w:t>T2</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390858" w14:paraId="6E86889F" w14:textId="77777777" w:rsidTr="00471C0C">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471C0C">
        <w:trPr>
          <w:trHeight w:val="238"/>
        </w:trPr>
        <w:tc>
          <w:tcPr>
            <w:tcW w:w="568" w:type="dxa"/>
            <w:shd w:val="clear" w:color="auto" w:fill="auto"/>
            <w:tcMar>
              <w:left w:w="0" w:type="dxa"/>
              <w:right w:w="0" w:type="dxa"/>
            </w:tcMar>
            <w:vAlign w:val="center"/>
          </w:tcPr>
          <w:p w14:paraId="3A343BF7" w14:textId="77777777" w:rsidR="00F958FE" w:rsidRDefault="00F958FE" w:rsidP="00F82665">
            <w:pPr>
              <w:keepNext/>
              <w:keepLines/>
              <w:jc w:val="center"/>
            </w:pPr>
            <w:r>
              <w:t>T3</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390858" w14:paraId="01646D9F" w14:textId="77777777" w:rsidTr="00471C0C">
        <w:trPr>
          <w:trHeight w:val="238"/>
        </w:trPr>
        <w:tc>
          <w:tcPr>
            <w:tcW w:w="568" w:type="dxa"/>
            <w:shd w:val="clear" w:color="auto" w:fill="auto"/>
            <w:tcMar>
              <w:left w:w="0" w:type="dxa"/>
              <w:right w:w="0" w:type="dxa"/>
            </w:tcMar>
            <w:vAlign w:val="center"/>
          </w:tcPr>
          <w:p w14:paraId="54C4A10A" w14:textId="77777777" w:rsidR="00F958FE" w:rsidRDefault="00F958FE" w:rsidP="00F82665">
            <w:pPr>
              <w:keepNext/>
              <w:keepLines/>
              <w:jc w:val="center"/>
            </w:pPr>
            <w:r>
              <w:t>T4</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471C0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471C0C">
        <w:trPr>
          <w:trHeight w:val="238"/>
        </w:trPr>
        <w:tc>
          <w:tcPr>
            <w:tcW w:w="568" w:type="dxa"/>
            <w:shd w:val="clear" w:color="auto" w:fill="auto"/>
            <w:tcMar>
              <w:left w:w="0" w:type="dxa"/>
              <w:right w:w="0" w:type="dxa"/>
            </w:tcMar>
            <w:vAlign w:val="center"/>
          </w:tcPr>
          <w:p w14:paraId="2C854FC4"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471C0C">
        <w:trPr>
          <w:trHeight w:val="238"/>
        </w:trPr>
        <w:tc>
          <w:tcPr>
            <w:tcW w:w="568" w:type="dxa"/>
            <w:shd w:val="clear" w:color="auto" w:fill="auto"/>
            <w:tcMar>
              <w:left w:w="0" w:type="dxa"/>
              <w:right w:w="0" w:type="dxa"/>
            </w:tcMar>
            <w:vAlign w:val="center"/>
          </w:tcPr>
          <w:p w14:paraId="6DB9846A"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5333C1B" w:rsidR="00F958FE" w:rsidRDefault="00F958FE" w:rsidP="00F958FE">
            <w:pPr>
              <w:pStyle w:val="B1"/>
              <w:numPr>
                <w:ilvl w:val="0"/>
                <w:numId w:val="0"/>
              </w:numPr>
            </w:pPr>
            <w:r>
              <w:t>High</w:t>
            </w:r>
            <w:r w:rsidR="00390858">
              <w:t>/Low</w:t>
            </w:r>
          </w:p>
        </w:tc>
        <w:tc>
          <w:tcPr>
            <w:tcW w:w="7365" w:type="dxa"/>
          </w:tcPr>
          <w:p w14:paraId="300AFEA3" w14:textId="77777777" w:rsidR="00F958FE" w:rsidRDefault="00F958FE" w:rsidP="00F958FE">
            <w:pPr>
              <w:pStyle w:val="B1"/>
              <w:numPr>
                <w:ilvl w:val="0"/>
                <w:numId w:val="0"/>
              </w:numPr>
            </w:pPr>
          </w:p>
        </w:tc>
      </w:tr>
      <w:tr w:rsidR="00390858" w14:paraId="6DBEFA9B" w14:textId="77777777" w:rsidTr="00471C0C">
        <w:tc>
          <w:tcPr>
            <w:tcW w:w="1129" w:type="dxa"/>
          </w:tcPr>
          <w:p w14:paraId="5665599D" w14:textId="2D4B05D5" w:rsidR="00390858" w:rsidRDefault="00390858" w:rsidP="00390858">
            <w:pPr>
              <w:pStyle w:val="B1"/>
              <w:numPr>
                <w:ilvl w:val="0"/>
                <w:numId w:val="0"/>
              </w:numPr>
            </w:pPr>
            <w:r>
              <w:t>High/Low</w:t>
            </w:r>
          </w:p>
        </w:tc>
        <w:tc>
          <w:tcPr>
            <w:tcW w:w="7365" w:type="dxa"/>
          </w:tcPr>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2322548B" w:rsidR="00390858" w:rsidRDefault="00390858" w:rsidP="00390858">
            <w:pPr>
              <w:pStyle w:val="B1"/>
              <w:numPr>
                <w:ilvl w:val="0"/>
                <w:numId w:val="0"/>
              </w:numPr>
            </w:pPr>
            <w:r>
              <w:t>High/Low</w:t>
            </w:r>
          </w:p>
        </w:tc>
        <w:tc>
          <w:tcPr>
            <w:tcW w:w="7365" w:type="dxa"/>
          </w:tcPr>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016F3B6" w:rsidR="00390858" w:rsidRDefault="00390858" w:rsidP="00390858">
            <w:pPr>
              <w:pStyle w:val="B1"/>
              <w:numPr>
                <w:ilvl w:val="0"/>
                <w:numId w:val="0"/>
              </w:numPr>
            </w:pPr>
            <w:r>
              <w:t>High/Low</w:t>
            </w:r>
          </w:p>
        </w:tc>
        <w:tc>
          <w:tcPr>
            <w:tcW w:w="7365" w:type="dxa"/>
          </w:tcPr>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0E32109F" w:rsidR="00390858" w:rsidRDefault="00390858" w:rsidP="00390858">
            <w:pPr>
              <w:pStyle w:val="B1"/>
              <w:numPr>
                <w:ilvl w:val="0"/>
                <w:numId w:val="0"/>
              </w:numPr>
            </w:pPr>
            <w:r>
              <w:t>High/Low</w:t>
            </w:r>
          </w:p>
        </w:tc>
        <w:tc>
          <w:tcPr>
            <w:tcW w:w="7365" w:type="dxa"/>
          </w:tcPr>
          <w:p w14:paraId="47B48A34" w14:textId="77777777" w:rsidR="00390858" w:rsidRDefault="00390858" w:rsidP="00390858">
            <w:pPr>
              <w:pStyle w:val="B1"/>
              <w:numPr>
                <w:ilvl w:val="0"/>
                <w:numId w:val="0"/>
              </w:numPr>
            </w:pP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7"/>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r>
        <w:t xml:space="preserve">In the course of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1C077B0B"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Chairman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4B6F66AF" w:rsidR="00645150" w:rsidRPr="0007181A" w:rsidRDefault="00645150" w:rsidP="00A65393"/>
    <w:sectPr w:rsidR="00645150" w:rsidRPr="0007181A" w:rsidSect="00C501C8">
      <w:headerReference w:type="default" r:id="rId15"/>
      <w:headerReference w:type="firs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26DC" w14:textId="77777777" w:rsidR="006011DA" w:rsidRDefault="006011DA">
      <w:r>
        <w:separator/>
      </w:r>
    </w:p>
  </w:endnote>
  <w:endnote w:type="continuationSeparator" w:id="0">
    <w:p w14:paraId="43EBB3A6" w14:textId="77777777" w:rsidR="006011DA" w:rsidRDefault="006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C9F1" w14:textId="77777777" w:rsidR="006011DA" w:rsidRDefault="006011DA">
      <w:r>
        <w:separator/>
      </w:r>
    </w:p>
  </w:footnote>
  <w:footnote w:type="continuationSeparator" w:id="0">
    <w:p w14:paraId="1A214312" w14:textId="77777777" w:rsidR="006011DA" w:rsidRDefault="0060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D95853" w14:paraId="01A29D6A" w14:textId="77777777">
      <w:trPr>
        <w:jc w:val="right"/>
      </w:trPr>
      <w:tc>
        <w:tcPr>
          <w:tcW w:w="5039" w:type="dxa"/>
        </w:tcPr>
        <w:p w14:paraId="46E606E0" w14:textId="78028BF4" w:rsidR="00D95853" w:rsidRDefault="00D95853" w:rsidP="00094E3E">
          <w:pPr>
            <w:pStyle w:val="Header"/>
          </w:pPr>
          <w:r>
            <w:t>ToR TTF XXX</w:t>
          </w:r>
        </w:p>
      </w:tc>
    </w:tr>
    <w:tr w:rsidR="00D95853" w14:paraId="2C0C9DF0" w14:textId="77777777">
      <w:trPr>
        <w:jc w:val="right"/>
      </w:trPr>
      <w:tc>
        <w:tcPr>
          <w:tcW w:w="5039" w:type="dxa"/>
        </w:tcPr>
        <w:p w14:paraId="567D9D69" w14:textId="77777777" w:rsidR="00D95853" w:rsidRPr="001B5122" w:rsidRDefault="00D95853"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D95853" w:rsidRPr="001B5122" w:rsidRDefault="00D95853"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D95853" w:rsidRPr="009F2D55" w:rsidRDefault="00D95853"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8" w:name="_Hlk10042329"/>
  </w:p>
  <w:bookmarkEnd w:id="8"/>
  <w:p w14:paraId="759D4311" w14:textId="77777777" w:rsidR="00D95853" w:rsidRDefault="00D95853"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0"/>
    <w:lvlOverride w:ilvl="0">
      <w:startOverride w:val="1"/>
    </w:lvlOverride>
  </w:num>
  <w:num w:numId="5">
    <w:abstractNumId w:val="7"/>
  </w:num>
  <w:num w:numId="6">
    <w:abstractNumId w:val="6"/>
  </w:num>
  <w:num w:numId="7">
    <w:abstractNumId w:val="9"/>
  </w:num>
  <w:num w:numId="8">
    <w:abstractNumId w:val="14"/>
  </w:num>
  <w:num w:numId="9">
    <w:abstractNumId w:val="8"/>
  </w:num>
  <w:num w:numId="10">
    <w:abstractNumId w:val="2"/>
  </w:num>
  <w:num w:numId="11">
    <w:abstractNumId w:val="2"/>
  </w:num>
  <w:num w:numId="12">
    <w:abstractNumId w:val="0"/>
  </w:num>
  <w:num w:numId="13">
    <w:abstractNumId w:val="3"/>
  </w:num>
  <w:num w:numId="14">
    <w:abstractNumId w:val="13"/>
  </w:num>
  <w:num w:numId="15">
    <w:abstractNumId w:val="4"/>
  </w:num>
  <w:num w:numId="16">
    <w:abstractNumId w:val="12"/>
  </w:num>
  <w:num w:numId="17">
    <w:abstractNumId w:val="10"/>
  </w:num>
  <w:num w:numId="18">
    <w:abstractNumId w:val="11"/>
  </w:num>
  <w:num w:numId="19">
    <w:abstractNumId w:val="12"/>
  </w:num>
  <w:num w:numId="20">
    <w:abstractNumId w:val="12"/>
  </w:num>
  <w:num w:numId="21">
    <w:abstractNumId w:val="12"/>
  </w:num>
  <w:num w:numId="22">
    <w:abstractNumId w:val="5"/>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37530"/>
    <w:rsid w:val="000454EE"/>
    <w:rsid w:val="0004591F"/>
    <w:rsid w:val="00050CD7"/>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32601"/>
    <w:rsid w:val="00133C8A"/>
    <w:rsid w:val="001350FA"/>
    <w:rsid w:val="0014707A"/>
    <w:rsid w:val="00151113"/>
    <w:rsid w:val="00154FD9"/>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B5122"/>
    <w:rsid w:val="001C0CBC"/>
    <w:rsid w:val="001C797F"/>
    <w:rsid w:val="001D044E"/>
    <w:rsid w:val="001D349B"/>
    <w:rsid w:val="001D531B"/>
    <w:rsid w:val="001D7882"/>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5703"/>
    <w:rsid w:val="00240D44"/>
    <w:rsid w:val="00240DFC"/>
    <w:rsid w:val="00245DEF"/>
    <w:rsid w:val="002465C1"/>
    <w:rsid w:val="00255D75"/>
    <w:rsid w:val="00260BF9"/>
    <w:rsid w:val="002706C4"/>
    <w:rsid w:val="002940C9"/>
    <w:rsid w:val="002967EE"/>
    <w:rsid w:val="002A3509"/>
    <w:rsid w:val="002A5ADD"/>
    <w:rsid w:val="002A6EDF"/>
    <w:rsid w:val="002B33FB"/>
    <w:rsid w:val="002B3C3B"/>
    <w:rsid w:val="002B53F4"/>
    <w:rsid w:val="002C0D22"/>
    <w:rsid w:val="002C520E"/>
    <w:rsid w:val="002C617C"/>
    <w:rsid w:val="002D0E5E"/>
    <w:rsid w:val="002D7F7F"/>
    <w:rsid w:val="002E0501"/>
    <w:rsid w:val="002E2C46"/>
    <w:rsid w:val="002E313B"/>
    <w:rsid w:val="002F183F"/>
    <w:rsid w:val="002F2159"/>
    <w:rsid w:val="00301EAE"/>
    <w:rsid w:val="003036F7"/>
    <w:rsid w:val="00307450"/>
    <w:rsid w:val="00317D80"/>
    <w:rsid w:val="0032165A"/>
    <w:rsid w:val="00326B5F"/>
    <w:rsid w:val="00334B5B"/>
    <w:rsid w:val="00342C1C"/>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5890"/>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24CA"/>
    <w:rsid w:val="004424FD"/>
    <w:rsid w:val="004441FF"/>
    <w:rsid w:val="00445B21"/>
    <w:rsid w:val="0045603E"/>
    <w:rsid w:val="00466814"/>
    <w:rsid w:val="00471C0C"/>
    <w:rsid w:val="0047464C"/>
    <w:rsid w:val="0048227B"/>
    <w:rsid w:val="0048429F"/>
    <w:rsid w:val="004A45D0"/>
    <w:rsid w:val="004A4C54"/>
    <w:rsid w:val="004B0855"/>
    <w:rsid w:val="004E31EA"/>
    <w:rsid w:val="004E546F"/>
    <w:rsid w:val="004E59A2"/>
    <w:rsid w:val="004F0134"/>
    <w:rsid w:val="004F33E5"/>
    <w:rsid w:val="004F3503"/>
    <w:rsid w:val="0050099A"/>
    <w:rsid w:val="005035BA"/>
    <w:rsid w:val="005203E7"/>
    <w:rsid w:val="00520A7D"/>
    <w:rsid w:val="005225F6"/>
    <w:rsid w:val="0052429C"/>
    <w:rsid w:val="00533A6B"/>
    <w:rsid w:val="0053799E"/>
    <w:rsid w:val="005510D7"/>
    <w:rsid w:val="00553764"/>
    <w:rsid w:val="00571192"/>
    <w:rsid w:val="00575C53"/>
    <w:rsid w:val="00576932"/>
    <w:rsid w:val="00581AE7"/>
    <w:rsid w:val="00583470"/>
    <w:rsid w:val="00583F1C"/>
    <w:rsid w:val="00590D14"/>
    <w:rsid w:val="005A0607"/>
    <w:rsid w:val="005B2629"/>
    <w:rsid w:val="005B58E9"/>
    <w:rsid w:val="005C5AC0"/>
    <w:rsid w:val="005D07FE"/>
    <w:rsid w:val="005D0FB6"/>
    <w:rsid w:val="005D33AE"/>
    <w:rsid w:val="005E0C03"/>
    <w:rsid w:val="005E47D0"/>
    <w:rsid w:val="005E567D"/>
    <w:rsid w:val="005F1768"/>
    <w:rsid w:val="005F7BFB"/>
    <w:rsid w:val="006011DA"/>
    <w:rsid w:val="00606DD1"/>
    <w:rsid w:val="00615997"/>
    <w:rsid w:val="00616732"/>
    <w:rsid w:val="00626E24"/>
    <w:rsid w:val="0062724E"/>
    <w:rsid w:val="00631CBF"/>
    <w:rsid w:val="0063448F"/>
    <w:rsid w:val="00640DB1"/>
    <w:rsid w:val="00645150"/>
    <w:rsid w:val="00652D4E"/>
    <w:rsid w:val="006616AF"/>
    <w:rsid w:val="006718C2"/>
    <w:rsid w:val="006739A1"/>
    <w:rsid w:val="006846BF"/>
    <w:rsid w:val="00691BA1"/>
    <w:rsid w:val="006A58EA"/>
    <w:rsid w:val="006C0941"/>
    <w:rsid w:val="006C2B23"/>
    <w:rsid w:val="006D7A6A"/>
    <w:rsid w:val="006E13A0"/>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7985"/>
    <w:rsid w:val="00766AD0"/>
    <w:rsid w:val="00767A4B"/>
    <w:rsid w:val="00771071"/>
    <w:rsid w:val="00771F98"/>
    <w:rsid w:val="00773364"/>
    <w:rsid w:val="00773BE4"/>
    <w:rsid w:val="00774C83"/>
    <w:rsid w:val="007766AC"/>
    <w:rsid w:val="00780BF7"/>
    <w:rsid w:val="007837E0"/>
    <w:rsid w:val="00786693"/>
    <w:rsid w:val="00792472"/>
    <w:rsid w:val="0079329C"/>
    <w:rsid w:val="007A31AC"/>
    <w:rsid w:val="007A7100"/>
    <w:rsid w:val="007B0BBD"/>
    <w:rsid w:val="007B563E"/>
    <w:rsid w:val="007D0E61"/>
    <w:rsid w:val="007D5EA6"/>
    <w:rsid w:val="007D5EAB"/>
    <w:rsid w:val="007E2B68"/>
    <w:rsid w:val="007E467E"/>
    <w:rsid w:val="007F3679"/>
    <w:rsid w:val="007F6E95"/>
    <w:rsid w:val="00822DC3"/>
    <w:rsid w:val="00841C06"/>
    <w:rsid w:val="00844005"/>
    <w:rsid w:val="00846054"/>
    <w:rsid w:val="00847B2F"/>
    <w:rsid w:val="00873FA3"/>
    <w:rsid w:val="00876F48"/>
    <w:rsid w:val="00883E7C"/>
    <w:rsid w:val="00894284"/>
    <w:rsid w:val="00897CF4"/>
    <w:rsid w:val="008C1309"/>
    <w:rsid w:val="008C44B3"/>
    <w:rsid w:val="008D5CDB"/>
    <w:rsid w:val="008E26DA"/>
    <w:rsid w:val="00903472"/>
    <w:rsid w:val="00913632"/>
    <w:rsid w:val="00915AB2"/>
    <w:rsid w:val="00920014"/>
    <w:rsid w:val="00923E9E"/>
    <w:rsid w:val="0093472E"/>
    <w:rsid w:val="00934D81"/>
    <w:rsid w:val="00936838"/>
    <w:rsid w:val="009374BF"/>
    <w:rsid w:val="00942022"/>
    <w:rsid w:val="009422D6"/>
    <w:rsid w:val="0094632F"/>
    <w:rsid w:val="009463C0"/>
    <w:rsid w:val="009606D9"/>
    <w:rsid w:val="0097355E"/>
    <w:rsid w:val="009774C5"/>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34E8"/>
    <w:rsid w:val="00AE0BDF"/>
    <w:rsid w:val="00AE23BD"/>
    <w:rsid w:val="00AE3A88"/>
    <w:rsid w:val="00AE4172"/>
    <w:rsid w:val="00AE7BDC"/>
    <w:rsid w:val="00AF1CF3"/>
    <w:rsid w:val="00AF2ACE"/>
    <w:rsid w:val="00B0264B"/>
    <w:rsid w:val="00B02BE6"/>
    <w:rsid w:val="00B076D5"/>
    <w:rsid w:val="00B133E1"/>
    <w:rsid w:val="00B14C4B"/>
    <w:rsid w:val="00B16261"/>
    <w:rsid w:val="00B27F1B"/>
    <w:rsid w:val="00B32E6E"/>
    <w:rsid w:val="00B37FA6"/>
    <w:rsid w:val="00B446F0"/>
    <w:rsid w:val="00B51EEA"/>
    <w:rsid w:val="00B7194C"/>
    <w:rsid w:val="00B75AB1"/>
    <w:rsid w:val="00B81DF9"/>
    <w:rsid w:val="00B858D7"/>
    <w:rsid w:val="00B92934"/>
    <w:rsid w:val="00B95033"/>
    <w:rsid w:val="00B955F0"/>
    <w:rsid w:val="00B96703"/>
    <w:rsid w:val="00BA0F61"/>
    <w:rsid w:val="00BC2BA6"/>
    <w:rsid w:val="00BC7275"/>
    <w:rsid w:val="00BD5E6F"/>
    <w:rsid w:val="00BE4F97"/>
    <w:rsid w:val="00BE5671"/>
    <w:rsid w:val="00BE7956"/>
    <w:rsid w:val="00BE7F16"/>
    <w:rsid w:val="00C123DB"/>
    <w:rsid w:val="00C309ED"/>
    <w:rsid w:val="00C31D6C"/>
    <w:rsid w:val="00C34E96"/>
    <w:rsid w:val="00C35B8E"/>
    <w:rsid w:val="00C36FBE"/>
    <w:rsid w:val="00C374FE"/>
    <w:rsid w:val="00C435B8"/>
    <w:rsid w:val="00C43A8E"/>
    <w:rsid w:val="00C45E35"/>
    <w:rsid w:val="00C501C8"/>
    <w:rsid w:val="00C66329"/>
    <w:rsid w:val="00C72DEB"/>
    <w:rsid w:val="00C72E73"/>
    <w:rsid w:val="00C83CC4"/>
    <w:rsid w:val="00C93DDE"/>
    <w:rsid w:val="00CA1D99"/>
    <w:rsid w:val="00CC2455"/>
    <w:rsid w:val="00CC7898"/>
    <w:rsid w:val="00CD6DAD"/>
    <w:rsid w:val="00CD7F46"/>
    <w:rsid w:val="00CE22ED"/>
    <w:rsid w:val="00CE45A9"/>
    <w:rsid w:val="00D13D86"/>
    <w:rsid w:val="00D258B4"/>
    <w:rsid w:val="00D371D7"/>
    <w:rsid w:val="00D3731A"/>
    <w:rsid w:val="00D43029"/>
    <w:rsid w:val="00D50FFB"/>
    <w:rsid w:val="00D517C9"/>
    <w:rsid w:val="00D72800"/>
    <w:rsid w:val="00D73124"/>
    <w:rsid w:val="00D737A8"/>
    <w:rsid w:val="00D83A13"/>
    <w:rsid w:val="00D8666A"/>
    <w:rsid w:val="00D95853"/>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3026"/>
    <w:rsid w:val="00E21FF3"/>
    <w:rsid w:val="00E240A4"/>
    <w:rsid w:val="00E33BB4"/>
    <w:rsid w:val="00E41D46"/>
    <w:rsid w:val="00E45EBC"/>
    <w:rsid w:val="00E63973"/>
    <w:rsid w:val="00E643BE"/>
    <w:rsid w:val="00E64D4E"/>
    <w:rsid w:val="00E73F1D"/>
    <w:rsid w:val="00E74DD0"/>
    <w:rsid w:val="00E753B7"/>
    <w:rsid w:val="00E94D2F"/>
    <w:rsid w:val="00EB731F"/>
    <w:rsid w:val="00EB737E"/>
    <w:rsid w:val="00EC1FBF"/>
    <w:rsid w:val="00EC3AB4"/>
    <w:rsid w:val="00ED1965"/>
    <w:rsid w:val="00ED1D60"/>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42AE"/>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tan.Mulligan@etsi.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moco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eclipse.org/projects/technology.iottestw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tcn-3.org/index.php/about/references" TargetMode="External"/><Relationship Id="rId4" Type="http://schemas.openxmlformats.org/officeDocument/2006/relationships/settings" Target="settings.xml"/><Relationship Id="rId9" Type="http://schemas.openxmlformats.org/officeDocument/2006/relationships/hyperlink" Target="http://www.ttcn-3.org/index.php/about/references/applicatio-domains" TargetMode="Externa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thgry\AppData\Roaming\Microsoft\Excel\TTCN-3statistics%20(version%201).xlsb"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GB" sz="1600"/>
              <a:t>No.of resolved TTCN-3 language CRs in ETSI</a:t>
            </a:r>
          </a:p>
        </c:rich>
      </c:tx>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spPr>
            <a:gradFill>
              <a:gsLst>
                <a:gs pos="0">
                  <a:srgbClr val="00CC99"/>
                </a:gs>
                <a:gs pos="100000">
                  <a:srgbClr val="92D050"/>
                </a:gs>
                <a:gs pos="100000">
                  <a:schemeClr val="accent1">
                    <a:tint val="23500"/>
                    <a:satMod val="160000"/>
                  </a:schemeClr>
                </a:gs>
              </a:gsLst>
              <a:lin ang="5400000" scaled="0"/>
            </a:gradFill>
          </c:spPr>
          <c:invertIfNegative val="0"/>
          <c:cat>
            <c:numRef>
              <c:f>'CR &amp; statistics'!$A$5:$A$15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'CR &amp; statistics'!$F$5:$F$15</c:f>
              <c:numCache>
                <c:formatCode>General</c:formatCode>
                <c:ptCount val="11"/>
                <c:pt idx="0">
                  <c:v>76</c:v>
                </c:pt>
                <c:pt idx="1">
                  <c:v>120</c:v>
                </c:pt>
                <c:pt idx="2">
                  <c:v>91</c:v>
                </c:pt>
                <c:pt idx="3">
                  <c:v>89</c:v>
                </c:pt>
                <c:pt idx="4">
                  <c:v>97</c:v>
                </c:pt>
                <c:pt idx="5">
                  <c:v>95</c:v>
                </c:pt>
                <c:pt idx="6">
                  <c:v>85</c:v>
                </c:pt>
                <c:pt idx="7">
                  <c:v>143</c:v>
                </c:pt>
                <c:pt idx="8">
                  <c:v>94</c:v>
                </c:pt>
                <c:pt idx="9">
                  <c:v>101</c:v>
                </c:pt>
                <c:pt idx="10">
                  <c:v>75</c:v>
                </c:pt>
              </c:numCache>
            </c:numRef>
          </c:val>
          <c:extLst>
            <c:ext xmlns:c16="http://schemas.microsoft.com/office/drawing/2014/chart" uri="{C3380CC4-5D6E-409C-BE32-E72D297353CC}">
              <c16:uniqueId val="{00000000-DA48-4A38-B5A3-2B30B776E21A}"/>
            </c:ext>
          </c:extLst>
        </c:ser>
        <c:dLbls>
          <c:showLegendKey val="0"/>
          <c:showVal val="0"/>
          <c:showCatName val="0"/>
          <c:showSerName val="0"/>
          <c:showPercent val="0"/>
          <c:showBubbleSize val="0"/>
        </c:dLbls>
        <c:gapWidth val="150"/>
        <c:shape val="cylinder"/>
        <c:axId val="42264832"/>
        <c:axId val="41844736"/>
        <c:axId val="0"/>
      </c:bar3DChart>
      <c:catAx>
        <c:axId val="42264832"/>
        <c:scaling>
          <c:orientation val="minMax"/>
        </c:scaling>
        <c:delete val="0"/>
        <c:axPos val="b"/>
        <c:numFmt formatCode="General" sourceLinked="1"/>
        <c:majorTickMark val="out"/>
        <c:minorTickMark val="none"/>
        <c:tickLblPos val="nextTo"/>
        <c:txPr>
          <a:bodyPr rot="-2700000"/>
          <a:lstStyle/>
          <a:p>
            <a:pPr>
              <a:defRPr/>
            </a:pPr>
            <a:endParaRPr lang="en-US"/>
          </a:p>
        </c:txPr>
        <c:crossAx val="41844736"/>
        <c:crosses val="autoZero"/>
        <c:auto val="1"/>
        <c:lblAlgn val="ctr"/>
        <c:lblOffset val="100"/>
        <c:noMultiLvlLbl val="0"/>
      </c:catAx>
      <c:valAx>
        <c:axId val="41844736"/>
        <c:scaling>
          <c:orientation val="minMax"/>
          <c:max val="150"/>
          <c:min val="0"/>
        </c:scaling>
        <c:delete val="0"/>
        <c:axPos val="l"/>
        <c:majorGridlines/>
        <c:numFmt formatCode="General" sourceLinked="1"/>
        <c:majorTickMark val="out"/>
        <c:minorTickMark val="none"/>
        <c:tickLblPos val="nextTo"/>
        <c:crossAx val="42264832"/>
        <c:crosses val="autoZero"/>
        <c:crossBetween val="between"/>
        <c:majorUnit val="25"/>
      </c:valAx>
      <c:spPr>
        <a:noFill/>
      </c:spPr>
    </c:plotArea>
    <c:plotVisOnly val="1"/>
    <c:dispBlanksAs val="gap"/>
    <c:showDLblsOverMax val="0"/>
  </c:chart>
  <c:spPr>
    <a:scene3d>
      <a:camera prst="orthographicFront"/>
      <a:lightRig rig="threePt" dir="t"/>
    </a:scene3d>
    <a:sp3d>
      <a:bevelT w="12700"/>
      <a:bevelB w="1270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00AB-1658-4003-BF6B-1360CBDD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102</TotalTime>
  <Pages>12</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18415</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György Réthy</cp:lastModifiedBy>
  <cp:revision>6</cp:revision>
  <cp:lastPrinted>2012-05-11T08:51:00Z</cp:lastPrinted>
  <dcterms:created xsi:type="dcterms:W3CDTF">2019-08-07T13:11:00Z</dcterms:created>
  <dcterms:modified xsi:type="dcterms:W3CDTF">2019-08-07T14:56:00Z</dcterms:modified>
</cp:coreProperties>
</file>