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D73E08" w14:paraId="7F6B070F" w14:textId="77777777" w:rsidTr="00D73E08">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654411C8" w14:textId="77777777" w:rsidR="00D73E08" w:rsidRDefault="00D73E08">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STF 577 - Progress Report for ETSI</w:t>
            </w:r>
            <w:bookmarkEnd w:id="1"/>
          </w:p>
        </w:tc>
      </w:tr>
      <w:tr w:rsidR="00D73E08" w14:paraId="7035A665" w14:textId="77777777" w:rsidTr="0058585B">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7FACFBF" w14:textId="77777777" w:rsidR="00D73E08" w:rsidRDefault="00D73E08">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7C00B19E" w14:textId="75FCD7B9" w:rsidR="00D73E08" w:rsidRDefault="00D73E08">
            <w:pPr>
              <w:rPr>
                <w:rFonts w:cs="Arial"/>
                <w:b/>
                <w:bCs/>
                <w:color w:val="000000"/>
              </w:rPr>
            </w:pPr>
            <w:r>
              <w:rPr>
                <w:rFonts w:cs="Arial"/>
                <w:b/>
                <w:bCs/>
                <w:color w:val="000000"/>
              </w:rPr>
              <w:t> </w:t>
            </w:r>
            <w:r w:rsidR="0058585B">
              <w:rPr>
                <w:rFonts w:cs="Arial"/>
                <w:b/>
                <w:bCs/>
                <w:color w:val="000000"/>
              </w:rPr>
              <w:t>MTS#79</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41AAF56E" w14:textId="77777777" w:rsidR="00D73E08" w:rsidRDefault="00D73E08">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569660B0" w14:textId="77777777" w:rsidR="00D73E08" w:rsidRDefault="00D73E08">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62083712" w14:textId="77777777" w:rsidR="00D73E08" w:rsidRDefault="00D73E08">
            <w:pPr>
              <w:jc w:val="center"/>
              <w:rPr>
                <w:rFonts w:cs="Arial"/>
                <w:color w:val="000000"/>
              </w:rPr>
            </w:pPr>
            <w:r>
              <w:rPr>
                <w:rFonts w:cs="Arial"/>
                <w:color w:val="000000"/>
              </w:rPr>
              <w:t>Mr. Philip Makedonski</w:t>
            </w:r>
          </w:p>
        </w:tc>
      </w:tr>
      <w:tr w:rsidR="00D73E08" w14:paraId="4BFFD0AA" w14:textId="77777777" w:rsidTr="0058585B">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53D705E" w14:textId="77777777" w:rsidR="00D73E08" w:rsidRDefault="00D73E08">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310CB3C5" w14:textId="77777777" w:rsidR="00D73E08" w:rsidRDefault="00D73E08">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4F595C70" w14:textId="77777777" w:rsidR="00D73E08" w:rsidRDefault="00D73E08">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323C26A8" w14:textId="77777777" w:rsidR="00D73E08" w:rsidRDefault="00D73E08">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8A3B912" w14:textId="19F5D4A5" w:rsidR="00D73E08" w:rsidRDefault="0058585B">
            <w:pPr>
              <w:jc w:val="center"/>
              <w:rPr>
                <w:rFonts w:cs="Arial"/>
                <w:color w:val="000000"/>
              </w:rPr>
            </w:pPr>
            <w:r>
              <w:rPr>
                <w:rFonts w:cs="Arial"/>
                <w:color w:val="000000"/>
              </w:rPr>
              <w:t>17</w:t>
            </w:r>
            <w:r w:rsidR="00D73E08">
              <w:rPr>
                <w:rFonts w:cs="Arial"/>
                <w:color w:val="000000"/>
              </w:rPr>
              <w:t>/</w:t>
            </w:r>
            <w:r>
              <w:rPr>
                <w:rFonts w:cs="Arial"/>
                <w:color w:val="000000"/>
              </w:rPr>
              <w:t>0</w:t>
            </w:r>
            <w:r w:rsidR="00D73E08">
              <w:rPr>
                <w:rFonts w:cs="Arial"/>
                <w:color w:val="000000"/>
              </w:rPr>
              <w:t>1/20</w:t>
            </w:r>
            <w:r>
              <w:rPr>
                <w:rFonts w:cs="Arial"/>
                <w:color w:val="000000"/>
              </w:rPr>
              <w:t>20</w:t>
            </w:r>
          </w:p>
        </w:tc>
      </w:tr>
      <w:tr w:rsidR="00D73E08" w14:paraId="3CD9DA3A" w14:textId="77777777" w:rsidTr="0058585B">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FF4DD87" w14:textId="77777777" w:rsidR="00D73E08" w:rsidRDefault="00D73E08">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5FE360BA" w14:textId="77777777" w:rsidR="00D73E08" w:rsidRDefault="00D73E08">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3102B3DC" w14:textId="77777777" w:rsidR="00D73E08" w:rsidRDefault="00D73E08">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4FBAD52A" w14:textId="77777777" w:rsidR="00D73E08" w:rsidRDefault="00D73E08">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D9088B8" w14:textId="2D7E5055" w:rsidR="00D73E08" w:rsidRDefault="0058585B">
            <w:pPr>
              <w:jc w:val="center"/>
              <w:rPr>
                <w:rFonts w:cs="Arial"/>
                <w:color w:val="000000"/>
              </w:rPr>
            </w:pPr>
            <w:r>
              <w:rPr>
                <w:rFonts w:cs="Arial"/>
                <w:color w:val="000000"/>
              </w:rPr>
              <w:t>1.0</w:t>
            </w:r>
            <w:r w:rsidR="00D73E08">
              <w:rPr>
                <w:rFonts w:cs="Arial"/>
                <w:color w:val="000000"/>
              </w:rPr>
              <w:t> </w:t>
            </w:r>
          </w:p>
        </w:tc>
      </w:tr>
      <w:tr w:rsidR="00D73E08" w14:paraId="21789D13" w14:textId="77777777" w:rsidTr="0058585B">
        <w:trPr>
          <w:trHeight w:val="300"/>
        </w:trPr>
        <w:tc>
          <w:tcPr>
            <w:tcW w:w="847" w:type="pct"/>
            <w:tcBorders>
              <w:top w:val="nil"/>
              <w:left w:val="nil"/>
              <w:bottom w:val="nil"/>
              <w:right w:val="nil"/>
            </w:tcBorders>
            <w:shd w:val="clear" w:color="auto" w:fill="auto"/>
            <w:noWrap/>
            <w:vAlign w:val="center"/>
            <w:hideMark/>
          </w:tcPr>
          <w:p w14:paraId="0C95C5AE" w14:textId="77777777" w:rsidR="00D73E08" w:rsidRDefault="00D73E08">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68CD592F" w14:textId="77777777" w:rsidR="00D73E08" w:rsidRDefault="00D73E08"/>
        </w:tc>
        <w:tc>
          <w:tcPr>
            <w:tcW w:w="730" w:type="pct"/>
            <w:tcBorders>
              <w:top w:val="nil"/>
              <w:left w:val="nil"/>
              <w:bottom w:val="nil"/>
              <w:right w:val="nil"/>
            </w:tcBorders>
            <w:shd w:val="clear" w:color="auto" w:fill="auto"/>
            <w:noWrap/>
            <w:vAlign w:val="bottom"/>
            <w:hideMark/>
          </w:tcPr>
          <w:p w14:paraId="28E34A06" w14:textId="77777777" w:rsidR="00D73E08" w:rsidRDefault="00D73E08"/>
        </w:tc>
        <w:tc>
          <w:tcPr>
            <w:tcW w:w="710" w:type="pct"/>
            <w:tcBorders>
              <w:top w:val="nil"/>
              <w:left w:val="nil"/>
              <w:bottom w:val="nil"/>
              <w:right w:val="nil"/>
            </w:tcBorders>
            <w:shd w:val="clear" w:color="auto" w:fill="auto"/>
            <w:noWrap/>
            <w:vAlign w:val="bottom"/>
            <w:hideMark/>
          </w:tcPr>
          <w:p w14:paraId="329B9BE0" w14:textId="77777777" w:rsidR="00D73E08" w:rsidRDefault="00D73E08"/>
        </w:tc>
        <w:tc>
          <w:tcPr>
            <w:tcW w:w="1082" w:type="pct"/>
            <w:tcBorders>
              <w:top w:val="nil"/>
              <w:left w:val="nil"/>
              <w:bottom w:val="nil"/>
              <w:right w:val="nil"/>
            </w:tcBorders>
            <w:shd w:val="clear" w:color="auto" w:fill="auto"/>
            <w:noWrap/>
            <w:vAlign w:val="bottom"/>
            <w:hideMark/>
          </w:tcPr>
          <w:p w14:paraId="16B7B619" w14:textId="77777777" w:rsidR="00D73E08" w:rsidRDefault="00D73E08"/>
        </w:tc>
        <w:tc>
          <w:tcPr>
            <w:tcW w:w="549" w:type="pct"/>
            <w:tcBorders>
              <w:top w:val="nil"/>
              <w:left w:val="nil"/>
              <w:bottom w:val="nil"/>
              <w:right w:val="nil"/>
            </w:tcBorders>
            <w:shd w:val="clear" w:color="auto" w:fill="auto"/>
            <w:noWrap/>
            <w:vAlign w:val="bottom"/>
            <w:hideMark/>
          </w:tcPr>
          <w:p w14:paraId="20D188C4" w14:textId="77777777" w:rsidR="00D73E08" w:rsidRDefault="00D73E08"/>
        </w:tc>
      </w:tr>
      <w:tr w:rsidR="00D73E08" w14:paraId="10C8FB63" w14:textId="77777777" w:rsidTr="0058585B">
        <w:trPr>
          <w:trHeight w:val="315"/>
        </w:trPr>
        <w:tc>
          <w:tcPr>
            <w:tcW w:w="847" w:type="pct"/>
            <w:tcBorders>
              <w:top w:val="nil"/>
              <w:left w:val="nil"/>
              <w:bottom w:val="nil"/>
              <w:right w:val="nil"/>
            </w:tcBorders>
            <w:shd w:val="clear" w:color="auto" w:fill="auto"/>
            <w:noWrap/>
            <w:vAlign w:val="center"/>
            <w:hideMark/>
          </w:tcPr>
          <w:p w14:paraId="2B2E9B86" w14:textId="77777777" w:rsidR="00D73E08" w:rsidRDefault="00D73E08"/>
        </w:tc>
        <w:tc>
          <w:tcPr>
            <w:tcW w:w="1082" w:type="pct"/>
            <w:tcBorders>
              <w:top w:val="nil"/>
              <w:left w:val="nil"/>
              <w:bottom w:val="nil"/>
              <w:right w:val="nil"/>
            </w:tcBorders>
            <w:shd w:val="clear" w:color="auto" w:fill="auto"/>
            <w:noWrap/>
            <w:vAlign w:val="bottom"/>
            <w:hideMark/>
          </w:tcPr>
          <w:p w14:paraId="3611314E" w14:textId="77777777" w:rsidR="00D73E08" w:rsidRDefault="00D73E08"/>
        </w:tc>
        <w:tc>
          <w:tcPr>
            <w:tcW w:w="730" w:type="pct"/>
            <w:tcBorders>
              <w:top w:val="nil"/>
              <w:left w:val="nil"/>
              <w:bottom w:val="nil"/>
              <w:right w:val="nil"/>
            </w:tcBorders>
            <w:shd w:val="clear" w:color="auto" w:fill="auto"/>
            <w:noWrap/>
            <w:vAlign w:val="bottom"/>
            <w:hideMark/>
          </w:tcPr>
          <w:p w14:paraId="4C9D5E11" w14:textId="77777777" w:rsidR="00D73E08" w:rsidRDefault="00D73E08"/>
        </w:tc>
        <w:tc>
          <w:tcPr>
            <w:tcW w:w="710" w:type="pct"/>
            <w:tcBorders>
              <w:top w:val="nil"/>
              <w:left w:val="nil"/>
              <w:bottom w:val="nil"/>
              <w:right w:val="nil"/>
            </w:tcBorders>
            <w:shd w:val="clear" w:color="auto" w:fill="auto"/>
            <w:noWrap/>
            <w:vAlign w:val="bottom"/>
            <w:hideMark/>
          </w:tcPr>
          <w:p w14:paraId="4C2E9F1F" w14:textId="77777777" w:rsidR="00D73E08" w:rsidRDefault="00D73E08"/>
        </w:tc>
        <w:tc>
          <w:tcPr>
            <w:tcW w:w="1082" w:type="pct"/>
            <w:tcBorders>
              <w:top w:val="nil"/>
              <w:left w:val="nil"/>
              <w:bottom w:val="nil"/>
              <w:right w:val="nil"/>
            </w:tcBorders>
            <w:shd w:val="clear" w:color="auto" w:fill="auto"/>
            <w:noWrap/>
            <w:vAlign w:val="bottom"/>
            <w:hideMark/>
          </w:tcPr>
          <w:p w14:paraId="339B4626" w14:textId="77777777" w:rsidR="00D73E08" w:rsidRDefault="00D73E08"/>
        </w:tc>
        <w:tc>
          <w:tcPr>
            <w:tcW w:w="549" w:type="pct"/>
            <w:tcBorders>
              <w:top w:val="nil"/>
              <w:left w:val="nil"/>
              <w:bottom w:val="nil"/>
              <w:right w:val="nil"/>
            </w:tcBorders>
            <w:shd w:val="clear" w:color="auto" w:fill="auto"/>
            <w:noWrap/>
            <w:vAlign w:val="bottom"/>
            <w:hideMark/>
          </w:tcPr>
          <w:p w14:paraId="66DEEA22" w14:textId="77777777" w:rsidR="00D73E08" w:rsidRDefault="00D73E08"/>
        </w:tc>
      </w:tr>
      <w:tr w:rsidR="00D73E08" w14:paraId="271A9FBB" w14:textId="77777777" w:rsidTr="0058585B">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960C110" w14:textId="77777777" w:rsidR="00D73E08" w:rsidRDefault="00D73E08">
            <w:pPr>
              <w:rPr>
                <w:rFonts w:cs="Arial"/>
                <w:b/>
                <w:bCs/>
                <w:color w:val="000000"/>
                <w:sz w:val="24"/>
                <w:szCs w:val="24"/>
              </w:rPr>
            </w:pPr>
            <w:r>
              <w:rPr>
                <w:rFonts w:cs="Arial"/>
                <w:b/>
                <w:bCs/>
                <w:color w:val="000000"/>
              </w:rPr>
              <w:t>STF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5FDB29D9" w14:textId="77777777" w:rsidR="00D73E08" w:rsidRDefault="00D73E08">
            <w:pPr>
              <w:jc w:val="center"/>
              <w:rPr>
                <w:rFonts w:cs="Arial"/>
                <w:b/>
                <w:bCs/>
                <w:color w:val="000000"/>
              </w:rPr>
            </w:pPr>
            <w:r>
              <w:rPr>
                <w:rFonts w:cs="Arial"/>
                <w:b/>
                <w:bCs/>
                <w:color w:val="000000"/>
              </w:rPr>
              <w:t>577</w:t>
            </w:r>
          </w:p>
        </w:tc>
        <w:tc>
          <w:tcPr>
            <w:tcW w:w="730" w:type="pct"/>
            <w:tcBorders>
              <w:top w:val="nil"/>
              <w:left w:val="nil"/>
              <w:bottom w:val="nil"/>
              <w:right w:val="single" w:sz="8" w:space="0" w:color="auto"/>
            </w:tcBorders>
            <w:shd w:val="clear" w:color="auto" w:fill="auto"/>
            <w:vAlign w:val="center"/>
            <w:hideMark/>
          </w:tcPr>
          <w:p w14:paraId="75E15C05" w14:textId="77777777" w:rsidR="00D73E08" w:rsidRDefault="00D73E08">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61942520" w14:textId="77777777" w:rsidR="00D73E08" w:rsidRDefault="00D73E08">
            <w:pPr>
              <w:rPr>
                <w:rFonts w:cs="Arial"/>
                <w:b/>
                <w:bCs/>
                <w:color w:val="000000"/>
                <w:sz w:val="24"/>
                <w:szCs w:val="24"/>
              </w:rPr>
            </w:pPr>
            <w:r>
              <w:rPr>
                <w:rFonts w:cs="Arial"/>
                <w:b/>
                <w:bCs/>
                <w:color w:val="000000"/>
              </w:rPr>
              <w:t>STF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0B611977" w14:textId="77777777" w:rsidR="00D73E08" w:rsidRDefault="00D73E08">
            <w:pPr>
              <w:jc w:val="left"/>
              <w:rPr>
                <w:rFonts w:cs="Arial"/>
                <w:color w:val="000000"/>
              </w:rPr>
            </w:pPr>
            <w:r>
              <w:rPr>
                <w:rFonts w:cs="Arial"/>
                <w:color w:val="000000"/>
              </w:rPr>
              <w:t>Mr. Philip Makedonski</w:t>
            </w:r>
          </w:p>
        </w:tc>
      </w:tr>
      <w:tr w:rsidR="0058585B" w14:paraId="43C8C32B" w14:textId="77777777" w:rsidTr="0058585B">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36E96EF" w14:textId="77777777" w:rsidR="0058585B" w:rsidRDefault="0058585B" w:rsidP="0058585B">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04A12C0A" w14:textId="77777777" w:rsidR="0058585B" w:rsidRDefault="0058585B" w:rsidP="0058585B">
            <w:pPr>
              <w:jc w:val="center"/>
              <w:rPr>
                <w:rFonts w:cs="Arial"/>
                <w:b/>
                <w:bCs/>
                <w:color w:val="000000"/>
              </w:rPr>
            </w:pPr>
            <w:r>
              <w:rPr>
                <w:rFonts w:cs="Arial"/>
                <w:b/>
                <w:bCs/>
                <w:color w:val="000000"/>
              </w:rPr>
              <w:t>MTS</w:t>
            </w:r>
          </w:p>
        </w:tc>
        <w:tc>
          <w:tcPr>
            <w:tcW w:w="730" w:type="pct"/>
            <w:tcBorders>
              <w:top w:val="nil"/>
              <w:left w:val="nil"/>
              <w:bottom w:val="nil"/>
              <w:right w:val="single" w:sz="8" w:space="0" w:color="auto"/>
            </w:tcBorders>
            <w:shd w:val="clear" w:color="auto" w:fill="auto"/>
            <w:vAlign w:val="center"/>
            <w:hideMark/>
          </w:tcPr>
          <w:p w14:paraId="36232D9C" w14:textId="77777777" w:rsidR="0058585B" w:rsidRDefault="0058585B" w:rsidP="0058585B">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7E99996D" w14:textId="77777777" w:rsidR="0058585B" w:rsidRDefault="0058585B" w:rsidP="0058585B">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659FF00B" w14:textId="1CF5BACE" w:rsidR="0058585B" w:rsidRDefault="0058585B" w:rsidP="0058585B">
            <w:pPr>
              <w:rPr>
                <w:rFonts w:cs="Arial"/>
                <w:color w:val="000000"/>
              </w:rPr>
            </w:pPr>
            <w:r>
              <w:t xml:space="preserve">Emmanuelle </w:t>
            </w:r>
            <w:proofErr w:type="spellStart"/>
            <w:r>
              <w:t>Chaulot-Talmon</w:t>
            </w:r>
            <w:proofErr w:type="spellEnd"/>
          </w:p>
        </w:tc>
      </w:tr>
      <w:tr w:rsidR="0058585B" w14:paraId="4661BBFE" w14:textId="77777777" w:rsidTr="0058585B">
        <w:trPr>
          <w:trHeight w:val="330"/>
        </w:trPr>
        <w:tc>
          <w:tcPr>
            <w:tcW w:w="847" w:type="pct"/>
            <w:tcBorders>
              <w:top w:val="nil"/>
              <w:left w:val="nil"/>
              <w:bottom w:val="nil"/>
              <w:right w:val="nil"/>
            </w:tcBorders>
            <w:shd w:val="clear" w:color="auto" w:fill="auto"/>
            <w:vAlign w:val="center"/>
            <w:hideMark/>
          </w:tcPr>
          <w:p w14:paraId="07F4150D" w14:textId="77777777" w:rsidR="0058585B" w:rsidRDefault="0058585B" w:rsidP="0058585B">
            <w:pPr>
              <w:rPr>
                <w:rFonts w:cs="Arial"/>
                <w:color w:val="000000"/>
              </w:rPr>
            </w:pPr>
          </w:p>
        </w:tc>
        <w:tc>
          <w:tcPr>
            <w:tcW w:w="1082" w:type="pct"/>
            <w:tcBorders>
              <w:top w:val="nil"/>
              <w:left w:val="nil"/>
              <w:bottom w:val="nil"/>
              <w:right w:val="nil"/>
            </w:tcBorders>
            <w:shd w:val="clear" w:color="auto" w:fill="auto"/>
            <w:vAlign w:val="center"/>
            <w:hideMark/>
          </w:tcPr>
          <w:p w14:paraId="39D851B0" w14:textId="77777777" w:rsidR="0058585B" w:rsidRDefault="0058585B" w:rsidP="0058585B"/>
        </w:tc>
        <w:tc>
          <w:tcPr>
            <w:tcW w:w="730" w:type="pct"/>
            <w:tcBorders>
              <w:top w:val="nil"/>
              <w:left w:val="nil"/>
              <w:bottom w:val="nil"/>
              <w:right w:val="single" w:sz="8" w:space="0" w:color="auto"/>
            </w:tcBorders>
            <w:shd w:val="clear" w:color="auto" w:fill="auto"/>
            <w:vAlign w:val="center"/>
            <w:hideMark/>
          </w:tcPr>
          <w:p w14:paraId="3AC2AF18" w14:textId="77777777" w:rsidR="0058585B" w:rsidRDefault="0058585B" w:rsidP="0058585B">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9C4039C" w14:textId="77777777" w:rsidR="0058585B" w:rsidRDefault="0058585B" w:rsidP="0058585B">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4FCB53FC" w14:textId="77777777" w:rsidR="0058585B" w:rsidRDefault="0058585B" w:rsidP="0058585B">
            <w:pPr>
              <w:jc w:val="left"/>
              <w:rPr>
                <w:rFonts w:cs="Arial"/>
                <w:color w:val="000000"/>
              </w:rPr>
            </w:pPr>
            <w:r>
              <w:rPr>
                <w:rFonts w:cs="Arial"/>
                <w:color w:val="000000"/>
              </w:rPr>
              <w:t xml:space="preserve">Ms. Elodie </w:t>
            </w:r>
            <w:proofErr w:type="spellStart"/>
            <w:r>
              <w:rPr>
                <w:rFonts w:cs="Arial"/>
                <w:color w:val="000000"/>
              </w:rPr>
              <w:t>Rouveroux</w:t>
            </w:r>
            <w:proofErr w:type="spellEnd"/>
          </w:p>
        </w:tc>
      </w:tr>
      <w:tr w:rsidR="0058585B" w14:paraId="01342F25" w14:textId="77777777" w:rsidTr="0058585B">
        <w:trPr>
          <w:trHeight w:val="315"/>
        </w:trPr>
        <w:tc>
          <w:tcPr>
            <w:tcW w:w="847" w:type="pct"/>
            <w:tcBorders>
              <w:top w:val="nil"/>
              <w:left w:val="nil"/>
              <w:bottom w:val="nil"/>
              <w:right w:val="nil"/>
            </w:tcBorders>
            <w:shd w:val="clear" w:color="auto" w:fill="auto"/>
            <w:noWrap/>
            <w:vAlign w:val="center"/>
            <w:hideMark/>
          </w:tcPr>
          <w:p w14:paraId="2E75EA1F" w14:textId="77777777" w:rsidR="0058585B" w:rsidRDefault="0058585B" w:rsidP="0058585B">
            <w:pPr>
              <w:rPr>
                <w:rFonts w:cs="Arial"/>
                <w:color w:val="000000"/>
              </w:rPr>
            </w:pPr>
          </w:p>
        </w:tc>
        <w:tc>
          <w:tcPr>
            <w:tcW w:w="1082" w:type="pct"/>
            <w:tcBorders>
              <w:top w:val="nil"/>
              <w:left w:val="nil"/>
              <w:bottom w:val="nil"/>
              <w:right w:val="nil"/>
            </w:tcBorders>
            <w:shd w:val="clear" w:color="auto" w:fill="auto"/>
            <w:noWrap/>
            <w:vAlign w:val="bottom"/>
            <w:hideMark/>
          </w:tcPr>
          <w:p w14:paraId="7CA381D9" w14:textId="77777777" w:rsidR="0058585B" w:rsidRDefault="0058585B" w:rsidP="0058585B"/>
        </w:tc>
        <w:tc>
          <w:tcPr>
            <w:tcW w:w="730" w:type="pct"/>
            <w:tcBorders>
              <w:top w:val="nil"/>
              <w:left w:val="nil"/>
              <w:bottom w:val="nil"/>
              <w:right w:val="nil"/>
            </w:tcBorders>
            <w:shd w:val="clear" w:color="auto" w:fill="auto"/>
            <w:noWrap/>
            <w:vAlign w:val="bottom"/>
            <w:hideMark/>
          </w:tcPr>
          <w:p w14:paraId="27B952D3" w14:textId="77777777" w:rsidR="0058585B" w:rsidRDefault="0058585B" w:rsidP="0058585B"/>
        </w:tc>
        <w:tc>
          <w:tcPr>
            <w:tcW w:w="710" w:type="pct"/>
            <w:tcBorders>
              <w:top w:val="nil"/>
              <w:left w:val="nil"/>
              <w:bottom w:val="nil"/>
              <w:right w:val="nil"/>
            </w:tcBorders>
            <w:shd w:val="clear" w:color="auto" w:fill="auto"/>
            <w:noWrap/>
            <w:vAlign w:val="bottom"/>
            <w:hideMark/>
          </w:tcPr>
          <w:p w14:paraId="0BAB3F33" w14:textId="77777777" w:rsidR="0058585B" w:rsidRDefault="0058585B" w:rsidP="0058585B"/>
        </w:tc>
        <w:tc>
          <w:tcPr>
            <w:tcW w:w="1082" w:type="pct"/>
            <w:tcBorders>
              <w:top w:val="nil"/>
              <w:left w:val="nil"/>
              <w:bottom w:val="nil"/>
              <w:right w:val="nil"/>
            </w:tcBorders>
            <w:shd w:val="clear" w:color="auto" w:fill="auto"/>
            <w:noWrap/>
            <w:vAlign w:val="bottom"/>
            <w:hideMark/>
          </w:tcPr>
          <w:p w14:paraId="43A43323" w14:textId="77777777" w:rsidR="0058585B" w:rsidRDefault="0058585B" w:rsidP="0058585B"/>
        </w:tc>
        <w:tc>
          <w:tcPr>
            <w:tcW w:w="549" w:type="pct"/>
            <w:tcBorders>
              <w:top w:val="nil"/>
              <w:left w:val="nil"/>
              <w:bottom w:val="nil"/>
              <w:right w:val="nil"/>
            </w:tcBorders>
            <w:shd w:val="clear" w:color="auto" w:fill="auto"/>
            <w:noWrap/>
            <w:vAlign w:val="bottom"/>
            <w:hideMark/>
          </w:tcPr>
          <w:p w14:paraId="0D4A949E" w14:textId="77777777" w:rsidR="0058585B" w:rsidRDefault="0058585B" w:rsidP="0058585B"/>
        </w:tc>
      </w:tr>
      <w:tr w:rsidR="0058585B" w14:paraId="4177EB38" w14:textId="77777777" w:rsidTr="0058585B">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A014554" w14:textId="77777777" w:rsidR="0058585B" w:rsidRDefault="0058585B" w:rsidP="0058585B">
            <w:pPr>
              <w:rPr>
                <w:rFonts w:cs="Arial"/>
                <w:b/>
                <w:bCs/>
                <w:color w:val="000000"/>
                <w:sz w:val="24"/>
                <w:szCs w:val="24"/>
              </w:rPr>
            </w:pPr>
            <w:r>
              <w:rPr>
                <w:rFonts w:cs="Arial"/>
                <w:b/>
                <w:bCs/>
                <w:color w:val="000000"/>
              </w:rPr>
              <w:t>STF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2DCD8BC6" w14:textId="77777777" w:rsidR="0058585B" w:rsidRDefault="0058585B" w:rsidP="0058585B">
            <w:pPr>
              <w:jc w:val="left"/>
              <w:rPr>
                <w:rFonts w:cs="Arial"/>
                <w:color w:val="000000"/>
              </w:rPr>
            </w:pPr>
            <w:r>
              <w:rPr>
                <w:rFonts w:cs="Arial"/>
                <w:color w:val="000000"/>
              </w:rPr>
              <w:t>TDL and TOP Enhancements and Maintenance</w:t>
            </w:r>
          </w:p>
        </w:tc>
      </w:tr>
      <w:tr w:rsidR="0058585B" w14:paraId="35E2E5BC" w14:textId="77777777" w:rsidTr="0058585B">
        <w:trPr>
          <w:trHeight w:val="315"/>
        </w:trPr>
        <w:tc>
          <w:tcPr>
            <w:tcW w:w="847" w:type="pct"/>
            <w:tcBorders>
              <w:top w:val="nil"/>
              <w:left w:val="nil"/>
              <w:bottom w:val="nil"/>
              <w:right w:val="nil"/>
            </w:tcBorders>
            <w:shd w:val="clear" w:color="auto" w:fill="auto"/>
            <w:noWrap/>
            <w:vAlign w:val="center"/>
            <w:hideMark/>
          </w:tcPr>
          <w:p w14:paraId="30879757" w14:textId="77777777" w:rsidR="0058585B" w:rsidRDefault="0058585B" w:rsidP="0058585B">
            <w:pPr>
              <w:rPr>
                <w:rFonts w:cs="Arial"/>
                <w:color w:val="000000"/>
              </w:rPr>
            </w:pPr>
          </w:p>
        </w:tc>
        <w:tc>
          <w:tcPr>
            <w:tcW w:w="1082" w:type="pct"/>
            <w:tcBorders>
              <w:top w:val="nil"/>
              <w:left w:val="nil"/>
              <w:bottom w:val="nil"/>
              <w:right w:val="nil"/>
            </w:tcBorders>
            <w:shd w:val="clear" w:color="auto" w:fill="auto"/>
            <w:noWrap/>
            <w:vAlign w:val="bottom"/>
            <w:hideMark/>
          </w:tcPr>
          <w:p w14:paraId="5CC5AFD5" w14:textId="77777777" w:rsidR="0058585B" w:rsidRDefault="0058585B" w:rsidP="0058585B"/>
        </w:tc>
        <w:tc>
          <w:tcPr>
            <w:tcW w:w="730" w:type="pct"/>
            <w:tcBorders>
              <w:top w:val="nil"/>
              <w:left w:val="nil"/>
              <w:bottom w:val="nil"/>
              <w:right w:val="nil"/>
            </w:tcBorders>
            <w:shd w:val="clear" w:color="auto" w:fill="auto"/>
            <w:noWrap/>
            <w:vAlign w:val="bottom"/>
            <w:hideMark/>
          </w:tcPr>
          <w:p w14:paraId="26F7664E" w14:textId="77777777" w:rsidR="0058585B" w:rsidRDefault="0058585B" w:rsidP="0058585B"/>
        </w:tc>
        <w:tc>
          <w:tcPr>
            <w:tcW w:w="710" w:type="pct"/>
            <w:tcBorders>
              <w:top w:val="nil"/>
              <w:left w:val="nil"/>
              <w:bottom w:val="nil"/>
              <w:right w:val="nil"/>
            </w:tcBorders>
            <w:shd w:val="clear" w:color="auto" w:fill="auto"/>
            <w:noWrap/>
            <w:vAlign w:val="bottom"/>
            <w:hideMark/>
          </w:tcPr>
          <w:p w14:paraId="7C1C95B3" w14:textId="77777777" w:rsidR="0058585B" w:rsidRDefault="0058585B" w:rsidP="0058585B"/>
        </w:tc>
        <w:tc>
          <w:tcPr>
            <w:tcW w:w="1082" w:type="pct"/>
            <w:tcBorders>
              <w:top w:val="nil"/>
              <w:left w:val="nil"/>
              <w:bottom w:val="nil"/>
              <w:right w:val="nil"/>
            </w:tcBorders>
            <w:shd w:val="clear" w:color="auto" w:fill="auto"/>
            <w:noWrap/>
            <w:vAlign w:val="bottom"/>
            <w:hideMark/>
          </w:tcPr>
          <w:p w14:paraId="6FA7EC49" w14:textId="77777777" w:rsidR="0058585B" w:rsidRDefault="0058585B" w:rsidP="0058585B"/>
        </w:tc>
        <w:tc>
          <w:tcPr>
            <w:tcW w:w="549" w:type="pct"/>
            <w:tcBorders>
              <w:top w:val="nil"/>
              <w:left w:val="nil"/>
              <w:bottom w:val="nil"/>
              <w:right w:val="nil"/>
            </w:tcBorders>
            <w:shd w:val="clear" w:color="auto" w:fill="auto"/>
            <w:noWrap/>
            <w:vAlign w:val="bottom"/>
            <w:hideMark/>
          </w:tcPr>
          <w:p w14:paraId="18209AE4" w14:textId="77777777" w:rsidR="0058585B" w:rsidRDefault="0058585B" w:rsidP="0058585B"/>
        </w:tc>
      </w:tr>
      <w:tr w:rsidR="0058585B" w14:paraId="445685D0" w14:textId="77777777" w:rsidTr="0058585B">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942D05" w14:textId="77777777" w:rsidR="0058585B" w:rsidRDefault="0058585B" w:rsidP="0058585B">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3B8FFCD9" w14:textId="77777777" w:rsidR="0058585B" w:rsidRDefault="0058585B" w:rsidP="0058585B">
            <w:pPr>
              <w:jc w:val="center"/>
              <w:rPr>
                <w:rFonts w:cs="Arial"/>
                <w:b/>
                <w:bCs/>
                <w:color w:val="000000"/>
              </w:rPr>
            </w:pPr>
            <w:r>
              <w:rPr>
                <w:rFonts w:cs="Arial"/>
                <w:b/>
                <w:bCs/>
                <w:color w:val="000000"/>
              </w:rPr>
              <w:t>A</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DE3D71E" w14:textId="77777777" w:rsidR="0058585B" w:rsidRDefault="0058585B" w:rsidP="0058585B">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48C05BE9" w14:textId="77777777" w:rsidR="0058585B" w:rsidRDefault="0058585B" w:rsidP="0058585B">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1692D476" w14:textId="77777777" w:rsidR="0058585B" w:rsidRDefault="0058585B" w:rsidP="0058585B">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9ED6C0A" w14:textId="77777777" w:rsidR="0058585B" w:rsidRDefault="0058585B" w:rsidP="0058585B">
            <w:pPr>
              <w:jc w:val="center"/>
              <w:rPr>
                <w:rFonts w:cs="Arial"/>
                <w:color w:val="000000"/>
              </w:rPr>
            </w:pPr>
            <w:r>
              <w:rPr>
                <w:rFonts w:cs="Arial"/>
                <w:color w:val="000000"/>
              </w:rPr>
              <w:t>31/01/2020</w:t>
            </w:r>
          </w:p>
        </w:tc>
      </w:tr>
      <w:tr w:rsidR="0058585B" w14:paraId="5F6B6E55" w14:textId="77777777" w:rsidTr="0058585B">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46584FA8" w14:textId="77777777" w:rsidR="0058585B" w:rsidRDefault="0058585B" w:rsidP="0058585B">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44F4CABB" w14:textId="77777777" w:rsidR="0058585B" w:rsidRDefault="0058585B" w:rsidP="0058585B">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7E123495" w14:textId="77777777" w:rsidR="0058585B" w:rsidRDefault="0058585B" w:rsidP="0058585B">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1B78315E" w14:textId="77777777" w:rsidR="0058585B" w:rsidRDefault="0058585B" w:rsidP="0058585B">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6D0A92BA" w14:textId="77777777" w:rsidR="0058585B" w:rsidRDefault="0058585B" w:rsidP="0058585B">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9ABD086" w14:textId="77777777" w:rsidR="0058585B" w:rsidRDefault="0058585B" w:rsidP="0058585B">
            <w:pPr>
              <w:rPr>
                <w:rFonts w:cs="Arial"/>
                <w:color w:val="000000"/>
              </w:rPr>
            </w:pPr>
          </w:p>
        </w:tc>
      </w:tr>
      <w:tr w:rsidR="0058585B" w14:paraId="6959F066" w14:textId="77777777" w:rsidTr="0058585B">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3774A1EC" w14:textId="77777777" w:rsidR="0058585B" w:rsidRDefault="0058585B" w:rsidP="0058585B">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1074BBEB" w14:textId="77777777" w:rsidR="0058585B" w:rsidRDefault="0058585B" w:rsidP="0058585B">
            <w:pPr>
              <w:rPr>
                <w:rFonts w:cs="Arial"/>
                <w:color w:val="000000"/>
              </w:rPr>
            </w:pPr>
            <w:r>
              <w:rPr>
                <w:rFonts w:cs="Arial"/>
                <w:color w:val="000000"/>
              </w:rPr>
              <w:t>Workable solutions for all deliverables on TDL (Task 1) are available and ready for review at MTS#79.  TOP tools are updated accordingly (Task 2).  Technical Report on reference implementation updated. Task 3 on validation has started.  Progress Report A to be approved by MTS#79</w:t>
            </w:r>
          </w:p>
        </w:tc>
      </w:tr>
      <w:tr w:rsidR="0058585B" w14:paraId="1412B1EE" w14:textId="77777777" w:rsidTr="0058585B">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3A686494" w14:textId="77777777" w:rsidR="0058585B" w:rsidRDefault="0058585B" w:rsidP="0058585B">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51E74E57" w14:textId="77777777" w:rsidR="0058585B" w:rsidRDefault="0058585B" w:rsidP="0058585B">
            <w:pPr>
              <w:rPr>
                <w:rFonts w:cs="Arial"/>
                <w:color w:val="000000"/>
              </w:rPr>
            </w:pPr>
            <w:r>
              <w:rPr>
                <w:rFonts w:cs="Arial"/>
                <w:color w:val="000000"/>
              </w:rPr>
              <w:t>Yes/No</w:t>
            </w:r>
          </w:p>
        </w:tc>
        <w:tc>
          <w:tcPr>
            <w:tcW w:w="3071" w:type="pct"/>
            <w:gridSpan w:val="4"/>
            <w:tcBorders>
              <w:top w:val="single" w:sz="8" w:space="0" w:color="auto"/>
              <w:left w:val="nil"/>
              <w:bottom w:val="nil"/>
              <w:right w:val="single" w:sz="8" w:space="0" w:color="000000"/>
            </w:tcBorders>
            <w:shd w:val="clear" w:color="auto" w:fill="auto"/>
            <w:vAlign w:val="center"/>
            <w:hideMark/>
          </w:tcPr>
          <w:p w14:paraId="31B551DF" w14:textId="608ECF13" w:rsidR="0058585B" w:rsidRDefault="0058585B" w:rsidP="0058585B">
            <w:pPr>
              <w:rPr>
                <w:rFonts w:cs="Arial"/>
                <w:i/>
                <w:iCs/>
                <w:color w:val="000000"/>
              </w:rPr>
            </w:pPr>
          </w:p>
        </w:tc>
      </w:tr>
      <w:tr w:rsidR="0058585B" w14:paraId="28070F0C" w14:textId="77777777" w:rsidTr="0058585B">
        <w:trPr>
          <w:trHeight w:val="315"/>
        </w:trPr>
        <w:tc>
          <w:tcPr>
            <w:tcW w:w="847" w:type="pct"/>
            <w:vMerge/>
            <w:tcBorders>
              <w:top w:val="nil"/>
              <w:left w:val="single" w:sz="8" w:space="0" w:color="auto"/>
              <w:bottom w:val="single" w:sz="8" w:space="0" w:color="000000"/>
              <w:right w:val="single" w:sz="8" w:space="0" w:color="auto"/>
            </w:tcBorders>
            <w:vAlign w:val="center"/>
            <w:hideMark/>
          </w:tcPr>
          <w:p w14:paraId="2C40A9BD" w14:textId="77777777" w:rsidR="0058585B" w:rsidRDefault="0058585B" w:rsidP="0058585B">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47BC8CEE" w14:textId="77777777" w:rsidR="0058585B" w:rsidRDefault="0058585B" w:rsidP="0058585B">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27775510" w14:textId="1A0C2FB4" w:rsidR="0058585B" w:rsidRDefault="0058585B" w:rsidP="0058585B">
            <w:pPr>
              <w:rPr>
                <w:rFonts w:cs="Arial"/>
                <w:i/>
                <w:iCs/>
                <w:color w:val="000000"/>
              </w:rPr>
            </w:pPr>
          </w:p>
        </w:tc>
      </w:tr>
      <w:tr w:rsidR="0058585B" w14:paraId="666AB736" w14:textId="77777777" w:rsidTr="0058585B">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31D8F6BC" w14:textId="77777777" w:rsidR="0058585B" w:rsidRDefault="0058585B" w:rsidP="0058585B">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6B7E46B0" w14:textId="77777777" w:rsidR="0058585B" w:rsidRDefault="0058585B" w:rsidP="0058585B">
            <w:pPr>
              <w:rPr>
                <w:rFonts w:cs="Arial"/>
                <w:color w:val="000000"/>
              </w:rPr>
            </w:pPr>
            <w:r>
              <w:rPr>
                <w:rFonts w:cs="Arial"/>
                <w:color w:val="000000"/>
              </w:rPr>
              <w:t xml:space="preserve"> </w:t>
            </w:r>
          </w:p>
        </w:tc>
      </w:tr>
      <w:tr w:rsidR="0058585B" w14:paraId="4EA8400B" w14:textId="77777777" w:rsidTr="0058585B">
        <w:trPr>
          <w:trHeight w:val="300"/>
        </w:trPr>
        <w:tc>
          <w:tcPr>
            <w:tcW w:w="847" w:type="pct"/>
            <w:tcBorders>
              <w:top w:val="nil"/>
              <w:left w:val="nil"/>
              <w:bottom w:val="nil"/>
              <w:right w:val="nil"/>
            </w:tcBorders>
            <w:shd w:val="clear" w:color="auto" w:fill="auto"/>
            <w:noWrap/>
            <w:vAlign w:val="center"/>
            <w:hideMark/>
          </w:tcPr>
          <w:p w14:paraId="27037467" w14:textId="77777777" w:rsidR="0058585B" w:rsidRDefault="0058585B" w:rsidP="0058585B">
            <w:pPr>
              <w:rPr>
                <w:rFonts w:cs="Arial"/>
                <w:color w:val="000000"/>
              </w:rPr>
            </w:pPr>
          </w:p>
        </w:tc>
        <w:tc>
          <w:tcPr>
            <w:tcW w:w="1082" w:type="pct"/>
            <w:tcBorders>
              <w:top w:val="nil"/>
              <w:left w:val="nil"/>
              <w:bottom w:val="nil"/>
              <w:right w:val="nil"/>
            </w:tcBorders>
            <w:shd w:val="clear" w:color="auto" w:fill="auto"/>
            <w:noWrap/>
            <w:vAlign w:val="bottom"/>
            <w:hideMark/>
          </w:tcPr>
          <w:p w14:paraId="4A954878" w14:textId="77777777" w:rsidR="0058585B" w:rsidRDefault="0058585B" w:rsidP="0058585B"/>
        </w:tc>
        <w:tc>
          <w:tcPr>
            <w:tcW w:w="730" w:type="pct"/>
            <w:tcBorders>
              <w:top w:val="nil"/>
              <w:left w:val="nil"/>
              <w:bottom w:val="nil"/>
              <w:right w:val="nil"/>
            </w:tcBorders>
            <w:shd w:val="clear" w:color="auto" w:fill="auto"/>
            <w:noWrap/>
            <w:vAlign w:val="bottom"/>
            <w:hideMark/>
          </w:tcPr>
          <w:p w14:paraId="5C09EE25" w14:textId="77777777" w:rsidR="0058585B" w:rsidRDefault="0058585B" w:rsidP="0058585B"/>
        </w:tc>
        <w:tc>
          <w:tcPr>
            <w:tcW w:w="710" w:type="pct"/>
            <w:tcBorders>
              <w:top w:val="nil"/>
              <w:left w:val="nil"/>
              <w:bottom w:val="nil"/>
              <w:right w:val="nil"/>
            </w:tcBorders>
            <w:shd w:val="clear" w:color="auto" w:fill="auto"/>
            <w:noWrap/>
            <w:vAlign w:val="bottom"/>
            <w:hideMark/>
          </w:tcPr>
          <w:p w14:paraId="0401F762" w14:textId="77777777" w:rsidR="0058585B" w:rsidRDefault="0058585B" w:rsidP="0058585B"/>
        </w:tc>
        <w:tc>
          <w:tcPr>
            <w:tcW w:w="1082" w:type="pct"/>
            <w:tcBorders>
              <w:top w:val="nil"/>
              <w:left w:val="nil"/>
              <w:bottom w:val="nil"/>
              <w:right w:val="nil"/>
            </w:tcBorders>
            <w:shd w:val="clear" w:color="auto" w:fill="auto"/>
            <w:noWrap/>
            <w:vAlign w:val="bottom"/>
            <w:hideMark/>
          </w:tcPr>
          <w:p w14:paraId="5A7C1A54" w14:textId="77777777" w:rsidR="0058585B" w:rsidRDefault="0058585B" w:rsidP="0058585B"/>
        </w:tc>
        <w:tc>
          <w:tcPr>
            <w:tcW w:w="549" w:type="pct"/>
            <w:tcBorders>
              <w:top w:val="nil"/>
              <w:left w:val="nil"/>
              <w:bottom w:val="nil"/>
              <w:right w:val="nil"/>
            </w:tcBorders>
            <w:shd w:val="clear" w:color="auto" w:fill="auto"/>
            <w:noWrap/>
            <w:vAlign w:val="bottom"/>
            <w:hideMark/>
          </w:tcPr>
          <w:p w14:paraId="660AFD67" w14:textId="77777777" w:rsidR="0058585B" w:rsidRDefault="0058585B" w:rsidP="0058585B"/>
        </w:tc>
      </w:tr>
      <w:tr w:rsidR="0058585B" w14:paraId="5B82F4AB" w14:textId="77777777" w:rsidTr="0058585B">
        <w:trPr>
          <w:trHeight w:val="315"/>
        </w:trPr>
        <w:tc>
          <w:tcPr>
            <w:tcW w:w="847" w:type="pct"/>
            <w:tcBorders>
              <w:top w:val="nil"/>
              <w:left w:val="nil"/>
              <w:bottom w:val="nil"/>
              <w:right w:val="nil"/>
            </w:tcBorders>
            <w:shd w:val="clear" w:color="auto" w:fill="auto"/>
            <w:noWrap/>
            <w:vAlign w:val="center"/>
            <w:hideMark/>
          </w:tcPr>
          <w:p w14:paraId="27ADC7DB" w14:textId="77777777" w:rsidR="0058585B" w:rsidRDefault="0058585B" w:rsidP="0058585B">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50D8D893" w14:textId="77777777" w:rsidR="0058585B" w:rsidRDefault="0058585B" w:rsidP="0058585B">
            <w:pPr>
              <w:rPr>
                <w:rFonts w:cs="Arial"/>
                <w:b/>
                <w:bCs/>
                <w:color w:val="000000"/>
              </w:rPr>
            </w:pPr>
          </w:p>
        </w:tc>
        <w:tc>
          <w:tcPr>
            <w:tcW w:w="730" w:type="pct"/>
            <w:tcBorders>
              <w:top w:val="nil"/>
              <w:left w:val="nil"/>
              <w:bottom w:val="nil"/>
              <w:right w:val="nil"/>
            </w:tcBorders>
            <w:shd w:val="clear" w:color="auto" w:fill="auto"/>
            <w:noWrap/>
            <w:vAlign w:val="bottom"/>
            <w:hideMark/>
          </w:tcPr>
          <w:p w14:paraId="29F96C33" w14:textId="77777777" w:rsidR="0058585B" w:rsidRDefault="0058585B" w:rsidP="0058585B"/>
        </w:tc>
        <w:tc>
          <w:tcPr>
            <w:tcW w:w="710" w:type="pct"/>
            <w:tcBorders>
              <w:top w:val="nil"/>
              <w:left w:val="nil"/>
              <w:bottom w:val="nil"/>
              <w:right w:val="nil"/>
            </w:tcBorders>
            <w:shd w:val="clear" w:color="auto" w:fill="auto"/>
            <w:noWrap/>
            <w:vAlign w:val="bottom"/>
            <w:hideMark/>
          </w:tcPr>
          <w:p w14:paraId="60B8B079" w14:textId="77777777" w:rsidR="0058585B" w:rsidRDefault="0058585B" w:rsidP="0058585B"/>
        </w:tc>
        <w:tc>
          <w:tcPr>
            <w:tcW w:w="1082" w:type="pct"/>
            <w:tcBorders>
              <w:top w:val="nil"/>
              <w:left w:val="nil"/>
              <w:bottom w:val="nil"/>
              <w:right w:val="nil"/>
            </w:tcBorders>
            <w:shd w:val="clear" w:color="auto" w:fill="auto"/>
            <w:noWrap/>
            <w:vAlign w:val="bottom"/>
            <w:hideMark/>
          </w:tcPr>
          <w:p w14:paraId="28570AE5" w14:textId="77777777" w:rsidR="0058585B" w:rsidRDefault="0058585B" w:rsidP="0058585B"/>
        </w:tc>
        <w:tc>
          <w:tcPr>
            <w:tcW w:w="549" w:type="pct"/>
            <w:tcBorders>
              <w:top w:val="nil"/>
              <w:left w:val="nil"/>
              <w:bottom w:val="nil"/>
              <w:right w:val="nil"/>
            </w:tcBorders>
            <w:shd w:val="clear" w:color="auto" w:fill="auto"/>
            <w:noWrap/>
            <w:vAlign w:val="bottom"/>
            <w:hideMark/>
          </w:tcPr>
          <w:p w14:paraId="2E49AD1D" w14:textId="77777777" w:rsidR="0058585B" w:rsidRDefault="0058585B" w:rsidP="0058585B"/>
        </w:tc>
      </w:tr>
      <w:tr w:rsidR="0058585B" w14:paraId="04A51096" w14:textId="77777777" w:rsidTr="0058585B">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9F13ABB" w14:textId="77777777" w:rsidR="0058585B" w:rsidRDefault="0058585B" w:rsidP="0058585B">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46670661" w14:textId="77777777" w:rsidR="0058585B" w:rsidRDefault="0058585B" w:rsidP="0058585B">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796C8709" w14:textId="77777777" w:rsidR="0058585B" w:rsidRDefault="0058585B" w:rsidP="0058585B">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53854F44" w14:textId="77777777" w:rsidR="0058585B" w:rsidRDefault="0058585B" w:rsidP="0058585B">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3C3ECC3B" w14:textId="77777777" w:rsidR="0058585B" w:rsidRDefault="0058585B" w:rsidP="0058585B">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502DB5D2" w14:textId="77777777" w:rsidR="0058585B" w:rsidRDefault="0058585B" w:rsidP="0058585B">
            <w:pPr>
              <w:jc w:val="center"/>
              <w:rPr>
                <w:rFonts w:cs="Arial"/>
                <w:b/>
                <w:bCs/>
                <w:color w:val="000000"/>
              </w:rPr>
            </w:pPr>
            <w:r>
              <w:rPr>
                <w:rFonts w:cs="Arial"/>
                <w:b/>
                <w:bCs/>
                <w:color w:val="000000"/>
              </w:rPr>
              <w:t> </w:t>
            </w:r>
          </w:p>
        </w:tc>
      </w:tr>
      <w:tr w:rsidR="0058585B" w14:paraId="0DCD023B" w14:textId="77777777" w:rsidTr="0058585B">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B79EF0F" w14:textId="77777777" w:rsidR="0058585B" w:rsidRDefault="0058585B" w:rsidP="0058585B">
            <w:pPr>
              <w:jc w:val="center"/>
              <w:rPr>
                <w:rFonts w:cs="Arial"/>
                <w:color w:val="000000"/>
              </w:rPr>
            </w:pPr>
            <w:r>
              <w:rPr>
                <w:rFonts w:cs="Arial"/>
                <w:color w:val="000000"/>
              </w:rPr>
              <w:t>23/12/2019</w:t>
            </w:r>
          </w:p>
        </w:tc>
        <w:tc>
          <w:tcPr>
            <w:tcW w:w="1082" w:type="pct"/>
            <w:tcBorders>
              <w:top w:val="nil"/>
              <w:left w:val="nil"/>
              <w:bottom w:val="single" w:sz="8" w:space="0" w:color="auto"/>
              <w:right w:val="single" w:sz="8" w:space="0" w:color="auto"/>
            </w:tcBorders>
            <w:shd w:val="clear" w:color="000000" w:fill="F2F2F2"/>
            <w:vAlign w:val="center"/>
            <w:hideMark/>
          </w:tcPr>
          <w:p w14:paraId="1FD4DE81" w14:textId="2DE0C3FD" w:rsidR="0058585B" w:rsidRDefault="0058585B" w:rsidP="0058585B">
            <w:pPr>
              <w:jc w:val="center"/>
              <w:rPr>
                <w:rFonts w:cs="Arial"/>
                <w:color w:val="000000"/>
              </w:rPr>
            </w:pPr>
            <w:r>
              <w:rPr>
                <w:rFonts w:cs="Arial"/>
                <w:color w:val="000000"/>
              </w:rPr>
              <w:t>17/01/2020</w:t>
            </w:r>
          </w:p>
        </w:tc>
        <w:tc>
          <w:tcPr>
            <w:tcW w:w="730" w:type="pct"/>
            <w:tcBorders>
              <w:top w:val="nil"/>
              <w:left w:val="nil"/>
              <w:bottom w:val="single" w:sz="8" w:space="0" w:color="auto"/>
              <w:right w:val="single" w:sz="8" w:space="0" w:color="auto"/>
            </w:tcBorders>
            <w:shd w:val="clear" w:color="000000" w:fill="F2F2F2"/>
            <w:vAlign w:val="center"/>
            <w:hideMark/>
          </w:tcPr>
          <w:p w14:paraId="4468BC5A" w14:textId="2914566F" w:rsidR="0058585B" w:rsidRDefault="0058585B" w:rsidP="0058585B">
            <w:pPr>
              <w:jc w:val="center"/>
              <w:rPr>
                <w:rFonts w:cs="Arial"/>
                <w:color w:val="000000"/>
              </w:rPr>
            </w:pPr>
            <w:r>
              <w:rPr>
                <w:rFonts w:cs="Arial"/>
                <w:color w:val="000000"/>
              </w:rPr>
              <w:t>28/01/2020</w:t>
            </w:r>
          </w:p>
        </w:tc>
        <w:tc>
          <w:tcPr>
            <w:tcW w:w="710" w:type="pct"/>
            <w:tcBorders>
              <w:top w:val="nil"/>
              <w:left w:val="nil"/>
              <w:bottom w:val="single" w:sz="8" w:space="0" w:color="auto"/>
              <w:right w:val="single" w:sz="8" w:space="0" w:color="auto"/>
            </w:tcBorders>
            <w:shd w:val="clear" w:color="000000" w:fill="F2F2F2"/>
            <w:hideMark/>
          </w:tcPr>
          <w:p w14:paraId="010E9919" w14:textId="77777777" w:rsidR="0058585B" w:rsidRDefault="0058585B" w:rsidP="0058585B">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281403BD" w14:textId="77777777" w:rsidR="0058585B" w:rsidRDefault="0058585B" w:rsidP="0058585B">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22E03138" w14:textId="77777777" w:rsidR="0058585B" w:rsidRDefault="0058585B" w:rsidP="0058585B">
            <w:pPr>
              <w:rPr>
                <w:rFonts w:cs="Arial"/>
                <w:color w:val="000000"/>
              </w:rPr>
            </w:pPr>
            <w:r>
              <w:rPr>
                <w:rFonts w:cs="Arial"/>
                <w:color w:val="000000"/>
              </w:rPr>
              <w:t> </w:t>
            </w:r>
          </w:p>
        </w:tc>
      </w:tr>
      <w:tr w:rsidR="0058585B" w14:paraId="588A8933" w14:textId="77777777" w:rsidTr="0058585B">
        <w:trPr>
          <w:trHeight w:val="300"/>
        </w:trPr>
        <w:tc>
          <w:tcPr>
            <w:tcW w:w="847" w:type="pct"/>
            <w:tcBorders>
              <w:top w:val="nil"/>
              <w:left w:val="nil"/>
              <w:bottom w:val="nil"/>
              <w:right w:val="nil"/>
            </w:tcBorders>
            <w:shd w:val="clear" w:color="auto" w:fill="auto"/>
            <w:noWrap/>
            <w:vAlign w:val="center"/>
            <w:hideMark/>
          </w:tcPr>
          <w:p w14:paraId="0CDB5B34" w14:textId="77777777" w:rsidR="0058585B" w:rsidRDefault="0058585B" w:rsidP="0058585B">
            <w:pPr>
              <w:rPr>
                <w:rFonts w:cs="Arial"/>
                <w:color w:val="000000"/>
              </w:rPr>
            </w:pPr>
          </w:p>
        </w:tc>
        <w:tc>
          <w:tcPr>
            <w:tcW w:w="1082" w:type="pct"/>
            <w:tcBorders>
              <w:top w:val="nil"/>
              <w:left w:val="nil"/>
              <w:bottom w:val="nil"/>
              <w:right w:val="nil"/>
            </w:tcBorders>
            <w:shd w:val="clear" w:color="auto" w:fill="auto"/>
            <w:noWrap/>
            <w:vAlign w:val="bottom"/>
            <w:hideMark/>
          </w:tcPr>
          <w:p w14:paraId="564699D7" w14:textId="77777777" w:rsidR="0058585B" w:rsidRDefault="0058585B" w:rsidP="0058585B"/>
        </w:tc>
        <w:tc>
          <w:tcPr>
            <w:tcW w:w="730" w:type="pct"/>
            <w:tcBorders>
              <w:top w:val="nil"/>
              <w:left w:val="nil"/>
              <w:bottom w:val="nil"/>
              <w:right w:val="nil"/>
            </w:tcBorders>
            <w:shd w:val="clear" w:color="auto" w:fill="auto"/>
            <w:noWrap/>
            <w:vAlign w:val="bottom"/>
            <w:hideMark/>
          </w:tcPr>
          <w:p w14:paraId="6D88BB49" w14:textId="77777777" w:rsidR="0058585B" w:rsidRDefault="0058585B" w:rsidP="0058585B"/>
        </w:tc>
        <w:tc>
          <w:tcPr>
            <w:tcW w:w="710" w:type="pct"/>
            <w:tcBorders>
              <w:top w:val="nil"/>
              <w:left w:val="nil"/>
              <w:bottom w:val="nil"/>
              <w:right w:val="nil"/>
            </w:tcBorders>
            <w:shd w:val="clear" w:color="auto" w:fill="auto"/>
            <w:noWrap/>
            <w:vAlign w:val="bottom"/>
            <w:hideMark/>
          </w:tcPr>
          <w:p w14:paraId="3185D083" w14:textId="77777777" w:rsidR="0058585B" w:rsidRDefault="0058585B" w:rsidP="0058585B"/>
        </w:tc>
        <w:tc>
          <w:tcPr>
            <w:tcW w:w="1082" w:type="pct"/>
            <w:tcBorders>
              <w:top w:val="nil"/>
              <w:left w:val="nil"/>
              <w:bottom w:val="nil"/>
              <w:right w:val="nil"/>
            </w:tcBorders>
            <w:shd w:val="clear" w:color="auto" w:fill="auto"/>
            <w:noWrap/>
            <w:vAlign w:val="bottom"/>
            <w:hideMark/>
          </w:tcPr>
          <w:p w14:paraId="759D0821" w14:textId="77777777" w:rsidR="0058585B" w:rsidRDefault="0058585B" w:rsidP="0058585B"/>
        </w:tc>
        <w:tc>
          <w:tcPr>
            <w:tcW w:w="549" w:type="pct"/>
            <w:tcBorders>
              <w:top w:val="nil"/>
              <w:left w:val="nil"/>
              <w:bottom w:val="nil"/>
              <w:right w:val="nil"/>
            </w:tcBorders>
            <w:shd w:val="clear" w:color="auto" w:fill="auto"/>
            <w:noWrap/>
            <w:vAlign w:val="bottom"/>
            <w:hideMark/>
          </w:tcPr>
          <w:p w14:paraId="244DD253" w14:textId="77777777" w:rsidR="0058585B" w:rsidRDefault="0058585B" w:rsidP="0058585B"/>
        </w:tc>
      </w:tr>
    </w:tbl>
    <w:p w14:paraId="472726EA" w14:textId="5EF03CEF" w:rsidR="005D0F03" w:rsidRPr="005D3245" w:rsidRDefault="00865FD7" w:rsidP="00865FD7">
      <w:pPr>
        <w:pStyle w:val="Heading1"/>
        <w:tabs>
          <w:tab w:val="clear" w:pos="567"/>
          <w:tab w:val="num" w:pos="432"/>
        </w:tabs>
        <w:ind w:left="432" w:hanging="432"/>
        <w:rPr>
          <w:rFonts w:cs="Arial"/>
        </w:rPr>
      </w:pPr>
      <w:bookmarkStart w:id="2" w:name="RANGE!A31"/>
      <w:bookmarkStart w:id="3" w:name="_Ref419990398"/>
      <w:bookmarkEnd w:id="2"/>
      <w:r>
        <w:rPr>
          <w:rFonts w:cs="Arial"/>
        </w:rPr>
        <w:t>Executive summary</w:t>
      </w:r>
      <w:bookmarkEnd w:id="3"/>
    </w:p>
    <w:p w14:paraId="24030AAC" w14:textId="3F8DFBEE" w:rsidR="005D0F03" w:rsidRPr="008C423A" w:rsidRDefault="005D0F03" w:rsidP="005D0F03">
      <w:pPr>
        <w:pStyle w:val="ListParagraph"/>
        <w:rPr>
          <w:lang w:val="en-US"/>
        </w:rPr>
      </w:pPr>
      <w:r>
        <w:rPr>
          <w:lang w:val="en-US"/>
        </w:rPr>
        <w:t xml:space="preserve">This progress report covers the work of STF 577 on reaching Milestone A, done in the period between 01-Oct-2019 and </w:t>
      </w:r>
      <w:r w:rsidR="00AE350E">
        <w:rPr>
          <w:lang w:val="en-US"/>
        </w:rPr>
        <w:t>31</w:t>
      </w:r>
      <w:r>
        <w:rPr>
          <w:lang w:val="en-US"/>
        </w:rPr>
        <w:t xml:space="preserve">-Jan-2020. </w:t>
      </w:r>
      <w:r w:rsidRPr="008C423A">
        <w:rPr>
          <w:lang w:val="en-US"/>
        </w:rPr>
        <w:t>This period concludes the submission of the deli</w:t>
      </w:r>
      <w:r>
        <w:rPr>
          <w:lang w:val="en-US"/>
        </w:rPr>
        <w:t>verables defined for Milestone A</w:t>
      </w:r>
      <w:r w:rsidRPr="008C423A">
        <w:rPr>
          <w:lang w:val="en-US"/>
        </w:rPr>
        <w:t xml:space="preserve">. </w:t>
      </w:r>
    </w:p>
    <w:p w14:paraId="23BD403A" w14:textId="4796D95E" w:rsidR="005D0F03" w:rsidRDefault="005D0F03" w:rsidP="005D0F03">
      <w:pPr>
        <w:pStyle w:val="ListParagraph"/>
        <w:rPr>
          <w:lang w:val="en-US"/>
        </w:rPr>
      </w:pPr>
      <w:r>
        <w:rPr>
          <w:lang w:val="en-US"/>
        </w:rPr>
        <w:t xml:space="preserve">The work was done remotely with coordinated homework of the experts and technical discussions with the </w:t>
      </w:r>
      <w:r w:rsidR="004A5CF0">
        <w:rPr>
          <w:lang w:val="en-US"/>
        </w:rPr>
        <w:t>dedicated working</w:t>
      </w:r>
      <w:r>
        <w:rPr>
          <w:lang w:val="en-US"/>
        </w:rPr>
        <w:t xml:space="preserve"> group, which provided further technical guidance, with one working session scheduled immediately after MTS#79.</w:t>
      </w:r>
    </w:p>
    <w:p w14:paraId="2E55BF72" w14:textId="23321F82" w:rsidR="005D0F03" w:rsidRPr="00FB7A38" w:rsidRDefault="005D0F03" w:rsidP="005D0F03">
      <w:pPr>
        <w:pStyle w:val="ListParagraph"/>
        <w:rPr>
          <w:lang w:val="en-US"/>
        </w:rPr>
      </w:pPr>
      <w:r>
        <w:rPr>
          <w:lang w:val="en-US"/>
        </w:rPr>
        <w:t xml:space="preserve">The STF work plan has been adapted to accommodate a </w:t>
      </w:r>
      <w:r w:rsidR="00D43145">
        <w:rPr>
          <w:lang w:val="en-US"/>
        </w:rPr>
        <w:t xml:space="preserve">minor </w:t>
      </w:r>
      <w:r>
        <w:rPr>
          <w:lang w:val="en-US"/>
        </w:rPr>
        <w:t>delay with the start of work</w:t>
      </w:r>
      <w:r w:rsidR="00D43145">
        <w:rPr>
          <w:lang w:val="en-US"/>
        </w:rPr>
        <w:t xml:space="preserve"> and </w:t>
      </w:r>
      <w:r w:rsidR="00317009">
        <w:rPr>
          <w:lang w:val="en-US"/>
        </w:rPr>
        <w:t>further dissemination activities</w:t>
      </w:r>
      <w:r>
        <w:rPr>
          <w:lang w:val="en-US"/>
        </w:rPr>
        <w:t xml:space="preserve">. No changes to the resource requirements and STF team are proposed at this point. </w:t>
      </w:r>
    </w:p>
    <w:p w14:paraId="363ED876" w14:textId="6B68197F" w:rsidR="005D0F03" w:rsidRDefault="005D0F03" w:rsidP="00865FD7">
      <w:pPr>
        <w:pStyle w:val="ListParagraph"/>
        <w:rPr>
          <w:lang w:val="en-US"/>
        </w:rPr>
      </w:pPr>
      <w:r>
        <w:rPr>
          <w:lang w:val="en-US"/>
        </w:rPr>
        <w:t>Promotional activities related have been initiated to raise awareness for TDL and the work of the STF.</w:t>
      </w:r>
    </w:p>
    <w:p w14:paraId="7D8A8853" w14:textId="77777777" w:rsidR="005D0F03" w:rsidRPr="005D0F03" w:rsidRDefault="005D0F03" w:rsidP="005D0F03">
      <w:pPr>
        <w:rPr>
          <w:lang w:val="en-US"/>
        </w:rPr>
      </w:pPr>
    </w:p>
    <w:p w14:paraId="368C85CE" w14:textId="77777777" w:rsidR="00865FD7" w:rsidRDefault="00865FD7" w:rsidP="00865FD7">
      <w:pPr>
        <w:pStyle w:val="Heading1"/>
        <w:tabs>
          <w:tab w:val="clear" w:pos="567"/>
          <w:tab w:val="num" w:pos="432"/>
        </w:tabs>
        <w:ind w:left="432" w:hanging="432"/>
        <w:rPr>
          <w:rFonts w:cs="Arial"/>
        </w:rPr>
      </w:pPr>
      <w:r>
        <w:rPr>
          <w:rFonts w:cs="Arial"/>
        </w:rPr>
        <w:t>Introduction</w:t>
      </w:r>
    </w:p>
    <w:p w14:paraId="2F639FCA" w14:textId="4233A40C" w:rsidR="005D0F03" w:rsidRPr="005D0F03" w:rsidRDefault="005D0F03" w:rsidP="00865FD7">
      <w:pPr>
        <w:rPr>
          <w:lang w:val="en-US"/>
        </w:rPr>
      </w:pPr>
      <w:r>
        <w:rPr>
          <w:lang w:val="en-US"/>
        </w:rPr>
        <w:t xml:space="preserve">This progress report covers the work of STF 577 on Milestone A, done in the period between 01-Oct-2019 and </w:t>
      </w:r>
      <w:r w:rsidR="00AE350E">
        <w:rPr>
          <w:lang w:val="en-US"/>
        </w:rPr>
        <w:t>31</w:t>
      </w:r>
      <w:r>
        <w:rPr>
          <w:lang w:val="en-US"/>
        </w:rPr>
        <w:t xml:space="preserve">-Jan-2020. This period concludes with the submission of the deliverables defined for Milestone A. The work was done remotely with coordinated homework of the experts and technical discussions with the </w:t>
      </w:r>
      <w:r w:rsidR="004A5CF0">
        <w:rPr>
          <w:lang w:val="en-US"/>
        </w:rPr>
        <w:t>working</w:t>
      </w:r>
      <w:r>
        <w:rPr>
          <w:lang w:val="en-US"/>
        </w:rPr>
        <w:t xml:space="preserve"> group, which provided further technical guidance. </w:t>
      </w:r>
    </w:p>
    <w:p w14:paraId="410EAC3C" w14:textId="77777777" w:rsidR="005D0F03" w:rsidRDefault="005D0F03" w:rsidP="00865FD7"/>
    <w:p w14:paraId="28C9A098" w14:textId="26983F5D" w:rsidR="00865FD7" w:rsidRDefault="00865FD7" w:rsidP="00865FD7">
      <w:pPr>
        <w:pStyle w:val="Heading1"/>
        <w:tabs>
          <w:tab w:val="clear" w:pos="567"/>
          <w:tab w:val="num" w:pos="432"/>
        </w:tabs>
        <w:ind w:left="432" w:hanging="432"/>
      </w:pPr>
      <w:r>
        <w:t>Contractual milestone</w:t>
      </w:r>
    </w:p>
    <w:p w14:paraId="5CA37320" w14:textId="0D3AF6F0" w:rsidR="005D0F03" w:rsidRDefault="005D0F03" w:rsidP="000F25C6">
      <w:r>
        <w:t xml:space="preserve">During the preparatory meeting the milestone planning needed to be adjusted </w:t>
      </w:r>
      <w:r w:rsidR="000F25C6">
        <w:t xml:space="preserve">slightly </w:t>
      </w:r>
      <w:r>
        <w:t xml:space="preserve">to accommodate the delay with the start of work. Further delays with the administrative details related to the contracts </w:t>
      </w:r>
      <w:r w:rsidR="000F25C6">
        <w:t xml:space="preserve">introduced minor constraints for the deliverable </w:t>
      </w:r>
      <w:r>
        <w:t xml:space="preserve">planning. </w:t>
      </w:r>
      <w:r w:rsidR="004A5CF0">
        <w:t>D</w:t>
      </w:r>
      <w:r>
        <w:t xml:space="preserve">uring the preparatory meeting, Milestone </w:t>
      </w:r>
      <w:r w:rsidR="000F25C6">
        <w:t>A</w:t>
      </w:r>
      <w:r>
        <w:t xml:space="preserve"> was </w:t>
      </w:r>
      <w:r w:rsidR="004A5CF0">
        <w:t>confirmed</w:t>
      </w:r>
      <w:r>
        <w:t xml:space="preserve"> </w:t>
      </w:r>
      <w:r w:rsidR="000F25C6">
        <w:t>as</w:t>
      </w:r>
      <w:r>
        <w:t xml:space="preserve"> "</w:t>
      </w:r>
      <w:r w:rsidR="000F25C6" w:rsidRPr="000F25C6">
        <w:t>Workable solutions for all deliverables on TDL (Task 1) are available and ready for review at MTS#79. TOP tools are updated accordingly (Task 2). Technical Report on reference implementation updated. Task 3 on validation has started. Progress Report A to be approved by MTS#79</w:t>
      </w:r>
      <w:r w:rsidR="000F25C6">
        <w:t>”</w:t>
      </w:r>
      <w:r>
        <w:t xml:space="preserve">. </w:t>
      </w:r>
      <w:r w:rsidR="000F25C6">
        <w:rPr>
          <w:rFonts w:ascii="ArialMT" w:hAnsi="ArialMT" w:cs="ArialMT"/>
          <w:color w:val="000000"/>
          <w:lang w:val="en-US"/>
        </w:rPr>
        <w:t>The</w:t>
      </w:r>
      <w:r>
        <w:rPr>
          <w:rFonts w:ascii="ArialMT" w:hAnsi="ArialMT" w:cs="ArialMT"/>
          <w:color w:val="000000"/>
          <w:lang w:val="en-US"/>
        </w:rPr>
        <w:t xml:space="preserve"> requested deliverables have been uploaded in the MTS contributions area of the ETSI portal</w:t>
      </w:r>
      <w:r>
        <w:t>.</w:t>
      </w:r>
    </w:p>
    <w:p w14:paraId="48E8045D" w14:textId="77777777" w:rsidR="005D0F03" w:rsidRDefault="005D0F03" w:rsidP="00865FD7">
      <w:pPr>
        <w:pStyle w:val="CommentText"/>
      </w:pPr>
    </w:p>
    <w:p w14:paraId="6A38EA43" w14:textId="7912DAD3" w:rsidR="00865FD7" w:rsidRDefault="00865FD7" w:rsidP="00865FD7">
      <w:pPr>
        <w:pStyle w:val="Heading1"/>
        <w:tabs>
          <w:tab w:val="clear" w:pos="567"/>
          <w:tab w:val="num" w:pos="432"/>
        </w:tabs>
        <w:ind w:left="432" w:hanging="432"/>
      </w:pPr>
      <w:r>
        <w:t>Progress of the work</w:t>
      </w:r>
    </w:p>
    <w:p w14:paraId="7CFBDF47" w14:textId="289FD23D" w:rsidR="000F25C6" w:rsidRDefault="000F25C6" w:rsidP="000F25C6">
      <w:pPr>
        <w:rPr>
          <w:lang w:val="en-US"/>
        </w:rPr>
      </w:pPr>
      <w:r>
        <w:rPr>
          <w:lang w:val="en-US"/>
        </w:rPr>
        <w:t>The original work plan comprises three principal milestones. As agreed during the preparatory meeting, most of the work will be done remotely in order to minimize travelling costs and overhead. The milestones are primarily prepared during individual and coordinated homework. One working session (29-30-Jan-2020) has been scheduled so far to discuss complex technical challenges in person.</w:t>
      </w:r>
    </w:p>
    <w:p w14:paraId="65B1B00F" w14:textId="77777777" w:rsidR="000F25C6" w:rsidRDefault="000F25C6" w:rsidP="000F25C6">
      <w:pPr>
        <w:rPr>
          <w:lang w:val="en-US"/>
        </w:rPr>
      </w:pPr>
    </w:p>
    <w:p w14:paraId="6CBC26A8" w14:textId="77777777" w:rsidR="000F25C6" w:rsidRDefault="000F25C6" w:rsidP="000F25C6">
      <w:pPr>
        <w:rPr>
          <w:lang w:val="en-US"/>
        </w:rPr>
      </w:pPr>
      <w:r>
        <w:rPr>
          <w:lang w:val="en-US"/>
        </w:rPr>
        <w:t>Progress on the following activities has been achieved so far:</w:t>
      </w:r>
    </w:p>
    <w:p w14:paraId="6065FB9B" w14:textId="2BE4CBFA" w:rsidR="000F25C6" w:rsidRDefault="000F25C6" w:rsidP="00865FD7">
      <w:pPr>
        <w:rPr>
          <w:lang w:val="en-US"/>
        </w:rPr>
      </w:pPr>
    </w:p>
    <w:p w14:paraId="49BB78F9" w14:textId="77777777" w:rsidR="000F25C6" w:rsidRPr="000E775A" w:rsidRDefault="000F25C6" w:rsidP="000F25C6">
      <w:pPr>
        <w:rPr>
          <w:b/>
          <w:lang w:val="en-US"/>
        </w:rPr>
      </w:pPr>
      <w:r w:rsidRPr="000E775A">
        <w:rPr>
          <w:b/>
          <w:lang w:val="en-US"/>
        </w:rPr>
        <w:t>Task 0 – Project Management</w:t>
      </w:r>
    </w:p>
    <w:p w14:paraId="381CB855" w14:textId="62AC21FC" w:rsidR="000F25C6" w:rsidRPr="005D3245" w:rsidRDefault="005D3245" w:rsidP="000F25C6">
      <w:pPr>
        <w:pStyle w:val="ListParagraph"/>
        <w:rPr>
          <w:lang w:val="en-US"/>
        </w:rPr>
      </w:pPr>
      <w:r w:rsidRPr="005D3245">
        <w:rPr>
          <w:lang w:val="en-US"/>
        </w:rPr>
        <w:t>One</w:t>
      </w:r>
      <w:r w:rsidR="000F25C6" w:rsidRPr="005D3245">
        <w:rPr>
          <w:lang w:val="en-US"/>
        </w:rPr>
        <w:t xml:space="preserve"> STF working sessions ha</w:t>
      </w:r>
      <w:r w:rsidRPr="005D3245">
        <w:rPr>
          <w:lang w:val="en-US"/>
        </w:rPr>
        <w:t>s</w:t>
      </w:r>
      <w:r w:rsidR="000F25C6" w:rsidRPr="005D3245">
        <w:rPr>
          <w:lang w:val="en-US"/>
        </w:rPr>
        <w:t xml:space="preserve"> been planned and allocated</w:t>
      </w:r>
      <w:r w:rsidRPr="005D3245">
        <w:rPr>
          <w:lang w:val="en-US"/>
        </w:rPr>
        <w:t xml:space="preserve"> along MTS#79</w:t>
      </w:r>
      <w:r w:rsidR="000F25C6" w:rsidRPr="005D3245">
        <w:rPr>
          <w:lang w:val="en-US"/>
        </w:rPr>
        <w:t>.</w:t>
      </w:r>
      <w:r>
        <w:rPr>
          <w:lang w:val="en-US"/>
        </w:rPr>
        <w:t xml:space="preserve"> Additional working sessions to be scheduled as needed.</w:t>
      </w:r>
    </w:p>
    <w:p w14:paraId="40D8607B" w14:textId="5B1845FF" w:rsidR="000F25C6" w:rsidRPr="005D3245" w:rsidRDefault="000F25C6" w:rsidP="000F25C6">
      <w:pPr>
        <w:pStyle w:val="ListParagraph"/>
        <w:rPr>
          <w:lang w:val="en-US"/>
        </w:rPr>
      </w:pPr>
      <w:r w:rsidRPr="005D3245">
        <w:rPr>
          <w:lang w:val="en-US"/>
        </w:rPr>
        <w:t xml:space="preserve">Progress reports for Milestones </w:t>
      </w:r>
      <w:r w:rsidR="005D3245" w:rsidRPr="005D3245">
        <w:rPr>
          <w:lang w:val="en-US"/>
        </w:rPr>
        <w:t>A</w:t>
      </w:r>
      <w:r w:rsidRPr="005D3245">
        <w:rPr>
          <w:lang w:val="en-US"/>
        </w:rPr>
        <w:t xml:space="preserve"> (</w:t>
      </w:r>
      <w:r w:rsidR="005D3245" w:rsidRPr="005D3245">
        <w:rPr>
          <w:lang w:val="en-US"/>
        </w:rPr>
        <w:t>prepared for</w:t>
      </w:r>
      <w:r w:rsidRPr="005D3245">
        <w:rPr>
          <w:lang w:val="en-US"/>
        </w:rPr>
        <w:t xml:space="preserve"> MTS#7</w:t>
      </w:r>
      <w:r w:rsidR="005D3245" w:rsidRPr="005D3245">
        <w:rPr>
          <w:lang w:val="en-US"/>
        </w:rPr>
        <w:t xml:space="preserve">9, </w:t>
      </w:r>
      <w:r w:rsidRPr="005D3245">
        <w:rPr>
          <w:lang w:val="en-US"/>
        </w:rPr>
        <w:t xml:space="preserve">this document), as well as interim progress reports for the </w:t>
      </w:r>
      <w:r w:rsidR="005D3245" w:rsidRPr="005D3245">
        <w:rPr>
          <w:lang w:val="en-US"/>
        </w:rPr>
        <w:t>working</w:t>
      </w:r>
      <w:r w:rsidRPr="005D3245">
        <w:rPr>
          <w:lang w:val="en-US"/>
        </w:rPr>
        <w:t xml:space="preserve"> group have been prepared and submitted.</w:t>
      </w:r>
    </w:p>
    <w:p w14:paraId="47FA3316" w14:textId="36C7C3F8" w:rsidR="000F25C6" w:rsidRPr="005D3245" w:rsidRDefault="000F25C6" w:rsidP="000F25C6">
      <w:pPr>
        <w:pStyle w:val="ListParagraph"/>
        <w:rPr>
          <w:lang w:val="en-US"/>
        </w:rPr>
      </w:pPr>
      <w:r w:rsidRPr="005D3245">
        <w:rPr>
          <w:lang w:val="en-US"/>
        </w:rPr>
        <w:t xml:space="preserve">STF members </w:t>
      </w:r>
      <w:r w:rsidR="005D3245" w:rsidRPr="005D3245">
        <w:rPr>
          <w:lang w:val="en-US"/>
        </w:rPr>
        <w:t xml:space="preserve">interacted with the working group and </w:t>
      </w:r>
      <w:r w:rsidRPr="005D3245">
        <w:rPr>
          <w:lang w:val="en-US"/>
        </w:rPr>
        <w:t xml:space="preserve">participated </w:t>
      </w:r>
      <w:r w:rsidR="005D3245" w:rsidRPr="005D3245">
        <w:rPr>
          <w:lang w:val="en-US"/>
        </w:rPr>
        <w:t>at</w:t>
      </w:r>
      <w:r w:rsidRPr="005D3245">
        <w:rPr>
          <w:lang w:val="en-US"/>
        </w:rPr>
        <w:t xml:space="preserve"> MTS meetings.</w:t>
      </w:r>
    </w:p>
    <w:p w14:paraId="6486BC1D" w14:textId="17081284" w:rsidR="000F25C6" w:rsidRPr="005D3245" w:rsidRDefault="005D3245" w:rsidP="000F25C6">
      <w:pPr>
        <w:pStyle w:val="ListParagraph"/>
        <w:rPr>
          <w:lang w:val="en-US"/>
        </w:rPr>
      </w:pPr>
      <w:r w:rsidRPr="005D3245">
        <w:rPr>
          <w:lang w:val="en-US"/>
        </w:rPr>
        <w:t>Members of the STF set up a booth at the UCAAT 2019 to promote TDL and the work of the STF</w:t>
      </w:r>
      <w:r w:rsidRPr="005D3245">
        <w:rPr>
          <w:lang w:val="en-US"/>
        </w:rPr>
        <w:t xml:space="preserve">. </w:t>
      </w:r>
    </w:p>
    <w:p w14:paraId="4C2D1BCA" w14:textId="51CB8C9E" w:rsidR="000F25C6" w:rsidRPr="005D3245" w:rsidRDefault="000F25C6" w:rsidP="00865FD7">
      <w:pPr>
        <w:pStyle w:val="ListParagraph"/>
        <w:rPr>
          <w:lang w:val="en-US"/>
        </w:rPr>
      </w:pPr>
      <w:r w:rsidRPr="005D3245">
        <w:rPr>
          <w:lang w:val="en-US"/>
        </w:rPr>
        <w:t>Coordination and preparation of materials for the TDL open source project.</w:t>
      </w:r>
    </w:p>
    <w:p w14:paraId="22090E80" w14:textId="77777777" w:rsidR="000F25C6" w:rsidRDefault="000F25C6" w:rsidP="00865FD7">
      <w:pPr>
        <w:rPr>
          <w:lang w:val="en-US"/>
        </w:rPr>
      </w:pPr>
    </w:p>
    <w:p w14:paraId="6E10905C" w14:textId="23B79ADE" w:rsidR="000F25C6" w:rsidRPr="002E6708" w:rsidRDefault="000F25C6" w:rsidP="000F25C6">
      <w:pPr>
        <w:rPr>
          <w:b/>
          <w:lang w:val="en-US"/>
        </w:rPr>
      </w:pPr>
      <w:r>
        <w:rPr>
          <w:b/>
          <w:lang w:val="en-US"/>
        </w:rPr>
        <w:t>Task 1</w:t>
      </w:r>
      <w:r w:rsidRPr="002E6708">
        <w:rPr>
          <w:b/>
          <w:lang w:val="en-US"/>
        </w:rPr>
        <w:t xml:space="preserve"> – </w:t>
      </w:r>
      <w:r>
        <w:rPr>
          <w:b/>
          <w:lang w:val="en-US"/>
        </w:rPr>
        <w:t>Evolution of TDL</w:t>
      </w:r>
    </w:p>
    <w:p w14:paraId="73397840" w14:textId="19818B1D" w:rsidR="005D3245" w:rsidRPr="005D3245" w:rsidRDefault="005D3245" w:rsidP="00865FD7">
      <w:pPr>
        <w:pStyle w:val="ListParagraph"/>
        <w:rPr>
          <w:lang w:val="en-US"/>
        </w:rPr>
      </w:pPr>
      <w:r w:rsidRPr="005D3245">
        <w:rPr>
          <w:lang w:val="en-US"/>
        </w:rPr>
        <w:t xml:space="preserve">Initial working </w:t>
      </w:r>
      <w:r w:rsidR="00D15D73">
        <w:rPr>
          <w:lang w:val="en-US"/>
        </w:rPr>
        <w:t>proposals</w:t>
      </w:r>
      <w:r w:rsidRPr="005D3245">
        <w:rPr>
          <w:lang w:val="en-US"/>
        </w:rPr>
        <w:t xml:space="preserve"> discussed for inheritance support, improved separation of globally ordered and locally ordered test descriptions, test data specification, dependency specification, as well as other open CRs.</w:t>
      </w:r>
    </w:p>
    <w:p w14:paraId="7AAEF826" w14:textId="62FC41B2" w:rsidR="000F25C6" w:rsidRPr="005D3245" w:rsidRDefault="005D3245" w:rsidP="00865FD7">
      <w:pPr>
        <w:pStyle w:val="ListParagraph"/>
        <w:rPr>
          <w:lang w:val="en-US"/>
        </w:rPr>
      </w:pPr>
      <w:r w:rsidRPr="005D3245">
        <w:rPr>
          <w:lang w:val="en-US"/>
        </w:rPr>
        <w:t>New CRs submitted based on user feedback and other sources</w:t>
      </w:r>
      <w:r w:rsidR="000F25C6" w:rsidRPr="005D3245">
        <w:rPr>
          <w:lang w:val="en-US"/>
        </w:rPr>
        <w:t>.</w:t>
      </w:r>
    </w:p>
    <w:p w14:paraId="3E13139D" w14:textId="77777777" w:rsidR="000F25C6" w:rsidRDefault="000F25C6" w:rsidP="00865FD7">
      <w:pPr>
        <w:rPr>
          <w:lang w:val="en-US"/>
        </w:rPr>
      </w:pPr>
    </w:p>
    <w:p w14:paraId="45A5B04A" w14:textId="582DFE78" w:rsidR="000F25C6" w:rsidRPr="002E6708" w:rsidRDefault="000F25C6" w:rsidP="000F25C6">
      <w:pPr>
        <w:rPr>
          <w:b/>
          <w:lang w:val="en-US"/>
        </w:rPr>
      </w:pPr>
      <w:r>
        <w:rPr>
          <w:b/>
          <w:lang w:val="en-US"/>
        </w:rPr>
        <w:t>Task 2</w:t>
      </w:r>
      <w:r w:rsidRPr="002E6708">
        <w:rPr>
          <w:b/>
          <w:lang w:val="en-US"/>
        </w:rPr>
        <w:t xml:space="preserve"> – </w:t>
      </w:r>
      <w:r>
        <w:rPr>
          <w:b/>
          <w:lang w:val="en-US"/>
        </w:rPr>
        <w:t>TOP Maintenance and Enhancements</w:t>
      </w:r>
    </w:p>
    <w:p w14:paraId="2E8341B6" w14:textId="43FA1BE4" w:rsidR="00994747" w:rsidRPr="00994747" w:rsidRDefault="00994747" w:rsidP="000F25C6">
      <w:pPr>
        <w:pStyle w:val="ListParagraph"/>
        <w:rPr>
          <w:lang w:val="en-US"/>
        </w:rPr>
      </w:pPr>
      <w:r w:rsidRPr="00994747">
        <w:rPr>
          <w:lang w:val="en-US"/>
        </w:rPr>
        <w:t>Compatibility updates in order to support the latest version of Eclipse and associated components contributed to TOP.</w:t>
      </w:r>
    </w:p>
    <w:p w14:paraId="0068DFB6" w14:textId="75C5560E" w:rsidR="000F25C6" w:rsidRPr="00994747" w:rsidRDefault="00AE350E" w:rsidP="000F25C6">
      <w:pPr>
        <w:pStyle w:val="ListParagraph"/>
        <w:rPr>
          <w:lang w:val="en-US"/>
        </w:rPr>
      </w:pPr>
      <w:r w:rsidRPr="00994747">
        <w:rPr>
          <w:lang w:val="en-US"/>
        </w:rPr>
        <w:t xml:space="preserve">Transition towards GitLab as collaboration platform and better exposure through ETSI labs under discussion, pilot </w:t>
      </w:r>
      <w:r w:rsidR="00994747" w:rsidRPr="00994747">
        <w:rPr>
          <w:lang w:val="en-US"/>
        </w:rPr>
        <w:t>setup in place.</w:t>
      </w:r>
    </w:p>
    <w:p w14:paraId="52030B97" w14:textId="613541ED" w:rsidR="00994747" w:rsidRPr="00994747" w:rsidRDefault="00994747" w:rsidP="000F25C6">
      <w:pPr>
        <w:pStyle w:val="ListParagraph"/>
        <w:rPr>
          <w:lang w:val="en-US"/>
        </w:rPr>
      </w:pPr>
      <w:r w:rsidRPr="00994747">
        <w:rPr>
          <w:lang w:val="en-US"/>
        </w:rPr>
        <w:t>CRs organized in sub-projects for better management.</w:t>
      </w:r>
    </w:p>
    <w:p w14:paraId="532F1709" w14:textId="44617762" w:rsidR="00994747" w:rsidRPr="00994747" w:rsidRDefault="00994747" w:rsidP="000F25C6">
      <w:pPr>
        <w:pStyle w:val="ListParagraph"/>
        <w:rPr>
          <w:lang w:val="en-US"/>
        </w:rPr>
      </w:pPr>
      <w:r w:rsidRPr="00994747">
        <w:rPr>
          <w:lang w:val="en-US"/>
        </w:rPr>
        <w:t>Initial solutions for high priority CRs are being discussed.</w:t>
      </w:r>
    </w:p>
    <w:p w14:paraId="6A2DCCE8" w14:textId="12256E32" w:rsidR="00994747" w:rsidRPr="00994747" w:rsidRDefault="00994747" w:rsidP="000F25C6">
      <w:pPr>
        <w:pStyle w:val="ListParagraph"/>
        <w:rPr>
          <w:lang w:val="en-US"/>
        </w:rPr>
      </w:pPr>
      <w:r w:rsidRPr="00994747">
        <w:rPr>
          <w:lang w:val="en-US"/>
        </w:rPr>
        <w:t>Standard data type library postponed until updates to the meta-model are stable.</w:t>
      </w:r>
    </w:p>
    <w:p w14:paraId="737546A8" w14:textId="77777777" w:rsidR="000F25C6" w:rsidRDefault="000F25C6" w:rsidP="00865FD7">
      <w:pPr>
        <w:rPr>
          <w:lang w:val="en-US"/>
        </w:rPr>
      </w:pPr>
    </w:p>
    <w:p w14:paraId="69AD4F06" w14:textId="1AB0CA73" w:rsidR="000F25C6" w:rsidRPr="002E6708" w:rsidRDefault="000F25C6" w:rsidP="000F25C6">
      <w:pPr>
        <w:rPr>
          <w:b/>
          <w:lang w:val="en-US"/>
        </w:rPr>
      </w:pPr>
      <w:r>
        <w:rPr>
          <w:b/>
          <w:lang w:val="en-US"/>
        </w:rPr>
        <w:t>Task 3</w:t>
      </w:r>
      <w:r w:rsidRPr="002E6708">
        <w:rPr>
          <w:b/>
          <w:lang w:val="en-US"/>
        </w:rPr>
        <w:t xml:space="preserve"> – </w:t>
      </w:r>
      <w:r>
        <w:rPr>
          <w:b/>
          <w:lang w:val="en-US"/>
        </w:rPr>
        <w:t>Validation and User Guidelines</w:t>
      </w:r>
    </w:p>
    <w:p w14:paraId="38BD83CE" w14:textId="1886A0D5" w:rsidR="000F25C6" w:rsidRPr="00AE350E" w:rsidRDefault="00AE350E" w:rsidP="000F25C6">
      <w:pPr>
        <w:pStyle w:val="ListParagraph"/>
        <w:rPr>
          <w:lang w:val="en-US"/>
        </w:rPr>
      </w:pPr>
      <w:r w:rsidRPr="00AE350E">
        <w:rPr>
          <w:lang w:val="en-US"/>
        </w:rPr>
        <w:t>Work has only just started on this task so no substantial progress so far</w:t>
      </w:r>
      <w:r w:rsidR="00994747">
        <w:rPr>
          <w:lang w:val="en-US"/>
        </w:rPr>
        <w:t>.</w:t>
      </w:r>
    </w:p>
    <w:p w14:paraId="5AA644E0" w14:textId="7FD4B795" w:rsidR="00AE350E" w:rsidRPr="00AE350E" w:rsidRDefault="00AE350E" w:rsidP="000F25C6">
      <w:pPr>
        <w:pStyle w:val="ListParagraph"/>
        <w:rPr>
          <w:lang w:val="en-US"/>
        </w:rPr>
      </w:pPr>
      <w:r w:rsidRPr="00AE350E">
        <w:rPr>
          <w:lang w:val="en-US"/>
        </w:rPr>
        <w:t>The STF is soliciting input from users within ETSI on typical user stories as input for the guidelines</w:t>
      </w:r>
      <w:r w:rsidR="00994747">
        <w:rPr>
          <w:lang w:val="en-US"/>
        </w:rPr>
        <w:t>.</w:t>
      </w:r>
    </w:p>
    <w:p w14:paraId="56614BED" w14:textId="1E93D5C7" w:rsidR="00AE350E" w:rsidRPr="00AE350E" w:rsidRDefault="00AE350E" w:rsidP="000F25C6">
      <w:pPr>
        <w:pStyle w:val="ListParagraph"/>
        <w:rPr>
          <w:lang w:val="en-US"/>
        </w:rPr>
      </w:pPr>
      <w:r w:rsidRPr="00AE350E">
        <w:rPr>
          <w:lang w:val="en-US"/>
        </w:rPr>
        <w:t>Consistency checking is an ongoing process along the work on TDL and TOP</w:t>
      </w:r>
      <w:r w:rsidR="00994747">
        <w:rPr>
          <w:lang w:val="en-US"/>
        </w:rPr>
        <w:t>.</w:t>
      </w:r>
    </w:p>
    <w:p w14:paraId="058853B7" w14:textId="287CF681" w:rsidR="00AE350E" w:rsidRPr="00AE350E" w:rsidRDefault="00AE350E" w:rsidP="000F25C6">
      <w:pPr>
        <w:pStyle w:val="ListParagraph"/>
        <w:rPr>
          <w:lang w:val="en-US"/>
        </w:rPr>
      </w:pPr>
      <w:r w:rsidRPr="00AE350E">
        <w:rPr>
          <w:lang w:val="en-US"/>
        </w:rPr>
        <w:t>Transition to GitLab will require corresponding changes to the documentation</w:t>
      </w:r>
      <w:r w:rsidR="00994747">
        <w:rPr>
          <w:lang w:val="en-US"/>
        </w:rPr>
        <w:t>.</w:t>
      </w:r>
    </w:p>
    <w:p w14:paraId="147238DB" w14:textId="77777777" w:rsidR="000F25C6" w:rsidRDefault="000F25C6" w:rsidP="00865FD7"/>
    <w:p w14:paraId="015E35F8" w14:textId="3CC67289" w:rsidR="00865FD7" w:rsidRDefault="00865FD7" w:rsidP="00865FD7">
      <w:pPr>
        <w:pStyle w:val="Heading1"/>
        <w:tabs>
          <w:tab w:val="clear" w:pos="567"/>
          <w:tab w:val="num" w:pos="432"/>
        </w:tabs>
        <w:ind w:left="432" w:hanging="432"/>
      </w:pPr>
      <w:r>
        <w:rPr>
          <w:rFonts w:cs="Arial"/>
        </w:rPr>
        <w:lastRenderedPageBreak/>
        <w:t>Assessment of technical risk, difficulties encountered/expected</w:t>
      </w:r>
      <w:r>
        <w:t>, unresolved issues</w:t>
      </w:r>
    </w:p>
    <w:p w14:paraId="68D21E87" w14:textId="77777777" w:rsidR="00D43145" w:rsidRDefault="00D43145" w:rsidP="00D43145">
      <w:pPr>
        <w:rPr>
          <w:lang w:val="en-US"/>
        </w:rPr>
      </w:pPr>
      <w:r>
        <w:rPr>
          <w:lang w:val="en-US"/>
        </w:rPr>
        <w:t>The progress of the work of the STF may be negatively affected by the following risks:</w:t>
      </w:r>
    </w:p>
    <w:p w14:paraId="5FEA1BEC" w14:textId="77777777" w:rsidR="00D43145" w:rsidRDefault="00D43145" w:rsidP="00D43145">
      <w:pPr>
        <w:rPr>
          <w:lang w:val="en-US"/>
        </w:rPr>
      </w:pPr>
    </w:p>
    <w:p w14:paraId="333E28BE" w14:textId="77777777" w:rsidR="00D43145" w:rsidRPr="005C2615" w:rsidRDefault="00D43145" w:rsidP="00D43145">
      <w:pPr>
        <w:rPr>
          <w:b/>
          <w:lang w:val="en-US"/>
        </w:rPr>
      </w:pPr>
      <w:r w:rsidRPr="005C2615">
        <w:rPr>
          <w:b/>
          <w:lang w:val="en-US"/>
        </w:rPr>
        <w:t>Task (inter-) dependencies may create bottlenecks for the work of the STF</w:t>
      </w:r>
    </w:p>
    <w:p w14:paraId="72ADCC19" w14:textId="77777777" w:rsidR="00D43145" w:rsidRDefault="00D43145" w:rsidP="00D43145">
      <w:pPr>
        <w:rPr>
          <w:lang w:val="en-US"/>
        </w:rPr>
      </w:pPr>
      <w:r>
        <w:rPr>
          <w:lang w:val="en-US"/>
        </w:rPr>
        <w:t>Due to the parallel and distributed work on multiple deliverables across multiple experts, dependencies among individual activities may create hindrances for the progress of the STF.</w:t>
      </w:r>
    </w:p>
    <w:p w14:paraId="107BDB70" w14:textId="77777777" w:rsidR="00D43145" w:rsidRDefault="00D43145" w:rsidP="00D43145">
      <w:pPr>
        <w:rPr>
          <w:lang w:val="en-US"/>
        </w:rPr>
      </w:pPr>
    </w:p>
    <w:p w14:paraId="7A9E1101" w14:textId="77777777" w:rsidR="00D43145" w:rsidRDefault="00D43145" w:rsidP="00D43145">
      <w:pPr>
        <w:rPr>
          <w:lang w:val="en-US"/>
        </w:rPr>
      </w:pPr>
      <w:r>
        <w:rPr>
          <w:lang w:val="en-US"/>
        </w:rPr>
        <w:t>Severity: Medium, Likelihood: Low</w:t>
      </w:r>
    </w:p>
    <w:p w14:paraId="1CFF51D8" w14:textId="77777777" w:rsidR="00D43145" w:rsidRDefault="00D43145" w:rsidP="00D43145">
      <w:pPr>
        <w:rPr>
          <w:lang w:val="en-US"/>
        </w:rPr>
      </w:pPr>
      <w:r>
        <w:rPr>
          <w:lang w:val="en-US"/>
        </w:rPr>
        <w:t>Mitigation strategies:</w:t>
      </w:r>
    </w:p>
    <w:p w14:paraId="09F39653" w14:textId="77777777" w:rsidR="00D43145" w:rsidRDefault="00D43145" w:rsidP="00D43145">
      <w:pPr>
        <w:pStyle w:val="ListParagraph"/>
        <w:rPr>
          <w:lang w:val="en-US"/>
        </w:rPr>
      </w:pPr>
      <w:r>
        <w:rPr>
          <w:lang w:val="en-US"/>
        </w:rPr>
        <w:t>Limit dependencies between activities where possible.</w:t>
      </w:r>
    </w:p>
    <w:p w14:paraId="60DAB33C" w14:textId="77777777" w:rsidR="00D43145" w:rsidRDefault="00D43145" w:rsidP="00D43145">
      <w:pPr>
        <w:pStyle w:val="ListParagraph"/>
        <w:rPr>
          <w:lang w:val="en-US"/>
        </w:rPr>
      </w:pPr>
      <w:r>
        <w:rPr>
          <w:lang w:val="en-US"/>
        </w:rPr>
        <w:t>Make dependencies explicit where these are inevitable in order to raise awareness, as well as monitor and control potential implications.</w:t>
      </w:r>
    </w:p>
    <w:p w14:paraId="411AF0C5" w14:textId="77777777" w:rsidR="00D43145" w:rsidRDefault="00D43145" w:rsidP="00D43145">
      <w:pPr>
        <w:pStyle w:val="ListParagraph"/>
        <w:rPr>
          <w:lang w:val="en-US"/>
        </w:rPr>
      </w:pPr>
      <w:r>
        <w:rPr>
          <w:lang w:val="en-US"/>
        </w:rPr>
        <w:t>Ensure communication and collaboration among experts working on inter-dependent tasks.</w:t>
      </w:r>
    </w:p>
    <w:p w14:paraId="41938597" w14:textId="77777777" w:rsidR="00D43145" w:rsidRDefault="00D43145" w:rsidP="00D43145">
      <w:pPr>
        <w:pStyle w:val="ListParagraph"/>
        <w:rPr>
          <w:lang w:val="en-US"/>
        </w:rPr>
      </w:pPr>
      <w:r>
        <w:rPr>
          <w:lang w:val="en-US"/>
        </w:rPr>
        <w:t>Reassign experts where applicable in order to accelerate progress of delayed activities and eliminate bottlenecks in a timely manner.</w:t>
      </w:r>
    </w:p>
    <w:p w14:paraId="5378CB65" w14:textId="77777777" w:rsidR="00D43145" w:rsidRDefault="00D43145" w:rsidP="00D43145">
      <w:pPr>
        <w:rPr>
          <w:lang w:val="en-US"/>
        </w:rPr>
      </w:pPr>
    </w:p>
    <w:p w14:paraId="5C1FBDDA" w14:textId="77777777" w:rsidR="00D43145" w:rsidRPr="00AE5D75" w:rsidRDefault="00D43145" w:rsidP="00D43145">
      <w:pPr>
        <w:rPr>
          <w:b/>
          <w:lang w:val="en-US"/>
        </w:rPr>
      </w:pPr>
      <w:r w:rsidRPr="00AE5D75">
        <w:rPr>
          <w:b/>
          <w:lang w:val="en-US"/>
        </w:rPr>
        <w:t>Misunderstandings and communication barriers hinder progress</w:t>
      </w:r>
    </w:p>
    <w:p w14:paraId="48C33E12" w14:textId="77777777" w:rsidR="00D43145" w:rsidRDefault="00D43145" w:rsidP="00D43145">
      <w:pPr>
        <w:rPr>
          <w:lang w:val="en-US"/>
        </w:rPr>
      </w:pPr>
      <w:r>
        <w:rPr>
          <w:lang w:val="en-US"/>
        </w:rPr>
        <w:t>Misunderstandings and communication issues during discussions and individual work may negatively impact the progress of the STF work.</w:t>
      </w:r>
    </w:p>
    <w:p w14:paraId="05310545" w14:textId="77777777" w:rsidR="00D43145" w:rsidRDefault="00D43145" w:rsidP="00D43145">
      <w:pPr>
        <w:rPr>
          <w:lang w:val="en-US"/>
        </w:rPr>
      </w:pPr>
    </w:p>
    <w:p w14:paraId="44A3DB8B" w14:textId="77777777" w:rsidR="00D43145" w:rsidRDefault="00D43145" w:rsidP="00D43145">
      <w:pPr>
        <w:rPr>
          <w:lang w:val="en-US"/>
        </w:rPr>
      </w:pPr>
      <w:r>
        <w:rPr>
          <w:lang w:val="en-US"/>
        </w:rPr>
        <w:t xml:space="preserve">Severity: Medium, Likelihood: Medium </w:t>
      </w:r>
    </w:p>
    <w:p w14:paraId="5D2A352B" w14:textId="77777777" w:rsidR="00D43145" w:rsidRDefault="00D43145" w:rsidP="00D43145">
      <w:pPr>
        <w:rPr>
          <w:lang w:val="en-US"/>
        </w:rPr>
      </w:pPr>
      <w:r>
        <w:rPr>
          <w:lang w:val="en-US"/>
        </w:rPr>
        <w:t>Mitigation strategies:</w:t>
      </w:r>
    </w:p>
    <w:p w14:paraId="37468C03" w14:textId="77777777" w:rsidR="00D43145" w:rsidRDefault="00D43145" w:rsidP="00D43145">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28761D51" w14:textId="77777777" w:rsidR="00D43145" w:rsidRDefault="00D43145" w:rsidP="00D43145">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564F782D" w14:textId="77777777" w:rsidR="00D43145" w:rsidRDefault="00D43145" w:rsidP="00D43145">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14:paraId="41C248B0" w14:textId="77777777" w:rsidR="00D43145" w:rsidRPr="00E03813" w:rsidRDefault="00D43145" w:rsidP="00D43145">
      <w:pPr>
        <w:pStyle w:val="ListParagraph"/>
        <w:rPr>
          <w:lang w:val="en-US"/>
        </w:rPr>
      </w:pPr>
      <w:r>
        <w:rPr>
          <w:lang w:val="en-US"/>
        </w:rPr>
        <w:t xml:space="preserve">Communicate and resolve persistent issues and disagreements with the help of the steering group. </w:t>
      </w:r>
    </w:p>
    <w:p w14:paraId="556B68D2" w14:textId="77777777" w:rsidR="00D43145" w:rsidRDefault="00D43145" w:rsidP="00D43145">
      <w:pPr>
        <w:rPr>
          <w:lang w:val="en-US"/>
        </w:rPr>
      </w:pPr>
    </w:p>
    <w:p w14:paraId="14A114D0" w14:textId="77777777" w:rsidR="00D43145" w:rsidRPr="005A221E" w:rsidRDefault="00D43145" w:rsidP="00D43145">
      <w:pPr>
        <w:rPr>
          <w:b/>
          <w:lang w:val="en-US"/>
        </w:rPr>
      </w:pPr>
      <w:r>
        <w:rPr>
          <w:b/>
          <w:lang w:val="en-US"/>
        </w:rPr>
        <w:t>Misalignment of expectations towards the STF and the output of the STF</w:t>
      </w:r>
      <w:r w:rsidRPr="005A221E">
        <w:rPr>
          <w:b/>
          <w:lang w:val="en-US"/>
        </w:rPr>
        <w:t xml:space="preserve"> </w:t>
      </w:r>
    </w:p>
    <w:p w14:paraId="02A81ED9" w14:textId="77777777" w:rsidR="00D43145" w:rsidRDefault="00D43145" w:rsidP="00D43145">
      <w:pPr>
        <w:rPr>
          <w:lang w:val="en-US"/>
        </w:rPr>
      </w:pPr>
      <w:r>
        <w:rPr>
          <w:lang w:val="en-US"/>
        </w:rPr>
        <w:t>Due to potentially unrealistic or misaligned expectations towards the STF from different stakeholders, the output of the STF may not be able to meet these expectations.</w:t>
      </w:r>
    </w:p>
    <w:p w14:paraId="06B40F8D" w14:textId="77777777" w:rsidR="00D43145" w:rsidRDefault="00D43145" w:rsidP="00D43145">
      <w:pPr>
        <w:rPr>
          <w:lang w:val="en-US"/>
        </w:rPr>
      </w:pPr>
    </w:p>
    <w:p w14:paraId="44C547DA" w14:textId="77777777" w:rsidR="00D43145" w:rsidRDefault="00D43145" w:rsidP="00D43145">
      <w:pPr>
        <w:rPr>
          <w:lang w:val="en-US"/>
        </w:rPr>
      </w:pPr>
      <w:r>
        <w:rPr>
          <w:lang w:val="en-US"/>
        </w:rPr>
        <w:t>Severity: Medium, Likelihood: Medium</w:t>
      </w:r>
    </w:p>
    <w:p w14:paraId="5F62466F" w14:textId="77777777" w:rsidR="00D43145" w:rsidRDefault="00D43145" w:rsidP="00D43145">
      <w:pPr>
        <w:rPr>
          <w:lang w:val="en-US"/>
        </w:rPr>
      </w:pPr>
      <w:r>
        <w:rPr>
          <w:lang w:val="en-US"/>
        </w:rPr>
        <w:t>Mitigation strategies:</w:t>
      </w:r>
    </w:p>
    <w:p w14:paraId="5834EF7B" w14:textId="77777777" w:rsidR="00D43145" w:rsidRDefault="00D43145" w:rsidP="00D43145">
      <w:pPr>
        <w:pStyle w:val="ListParagraph"/>
        <w:rPr>
          <w:lang w:val="en-US"/>
        </w:rPr>
      </w:pPr>
      <w:r>
        <w:rPr>
          <w:lang w:val="en-US"/>
        </w:rPr>
        <w:t>A steering group has been established to provide technical guidance and mediate technical disagreements.</w:t>
      </w:r>
    </w:p>
    <w:p w14:paraId="01D435C0" w14:textId="77777777" w:rsidR="00D43145" w:rsidRDefault="00D43145" w:rsidP="00D43145">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14:paraId="451EC816" w14:textId="77777777" w:rsidR="00D43145" w:rsidRDefault="00D43145" w:rsidP="00D43145">
      <w:pPr>
        <w:pStyle w:val="ListParagraph"/>
        <w:rPr>
          <w:lang w:val="en-US"/>
        </w:rPr>
      </w:pPr>
      <w:r w:rsidRPr="004B176D">
        <w:rPr>
          <w:lang w:val="en-US"/>
        </w:rPr>
        <w:t>Concrete examples are prepared to support technical discussions and ensure alignment of expectations</w:t>
      </w:r>
    </w:p>
    <w:p w14:paraId="48EEDCD2" w14:textId="77777777" w:rsidR="00D43145" w:rsidRDefault="00D43145" w:rsidP="00D43145"/>
    <w:p w14:paraId="0E9A3331" w14:textId="0112B71E" w:rsidR="00D43145" w:rsidRPr="005A221E" w:rsidRDefault="00D43145" w:rsidP="00D43145">
      <w:pPr>
        <w:rPr>
          <w:b/>
          <w:lang w:val="en-US"/>
        </w:rPr>
      </w:pPr>
      <w:r>
        <w:rPr>
          <w:b/>
          <w:lang w:val="en-US"/>
        </w:rPr>
        <w:t>Complex technological landscape may slow down progress on TOP maintenance</w:t>
      </w:r>
      <w:r w:rsidRPr="005A221E">
        <w:rPr>
          <w:b/>
          <w:lang w:val="en-US"/>
        </w:rPr>
        <w:t xml:space="preserve"> </w:t>
      </w:r>
    </w:p>
    <w:p w14:paraId="4CAA9C8B" w14:textId="35556591" w:rsidR="00D43145" w:rsidRDefault="00D43145" w:rsidP="00D43145">
      <w:pPr>
        <w:rPr>
          <w:lang w:val="en-US"/>
        </w:rPr>
      </w:pPr>
      <w:r>
        <w:rPr>
          <w:lang w:val="en-US"/>
        </w:rPr>
        <w:t>Due to the complex and constantly evolving technological landscape surrounding the platform on which the TOP is based, unforeseen challenges may slow down the progress of the STF. Conversely, unforeseen benefits may also speed up the progress of the STF.</w:t>
      </w:r>
    </w:p>
    <w:p w14:paraId="48444DBF" w14:textId="77777777" w:rsidR="00D43145" w:rsidRDefault="00D43145" w:rsidP="00D43145">
      <w:pPr>
        <w:rPr>
          <w:lang w:val="en-US"/>
        </w:rPr>
      </w:pPr>
    </w:p>
    <w:p w14:paraId="7F677CA3" w14:textId="77777777" w:rsidR="00D43145" w:rsidRDefault="00D43145" w:rsidP="00D43145">
      <w:pPr>
        <w:rPr>
          <w:lang w:val="en-US"/>
        </w:rPr>
      </w:pPr>
      <w:r>
        <w:rPr>
          <w:lang w:val="en-US"/>
        </w:rPr>
        <w:t>Severity: Medium, Likelihood: Medium</w:t>
      </w:r>
    </w:p>
    <w:p w14:paraId="40257AC4" w14:textId="77777777" w:rsidR="00D43145" w:rsidRDefault="00D43145" w:rsidP="00D43145">
      <w:pPr>
        <w:rPr>
          <w:lang w:val="en-US"/>
        </w:rPr>
      </w:pPr>
      <w:r>
        <w:rPr>
          <w:lang w:val="en-US"/>
        </w:rPr>
        <w:t>Mitigation strategies:</w:t>
      </w:r>
    </w:p>
    <w:p w14:paraId="7F44255F" w14:textId="77777777" w:rsidR="00D43145" w:rsidRDefault="00D43145" w:rsidP="00D43145">
      <w:pPr>
        <w:pStyle w:val="ListParagraph"/>
        <w:rPr>
          <w:lang w:val="en-US"/>
        </w:rPr>
      </w:pPr>
      <w:r>
        <w:rPr>
          <w:lang w:val="en-US"/>
        </w:rPr>
        <w:t>Limiting the dependencies on third-party components.</w:t>
      </w:r>
    </w:p>
    <w:p w14:paraId="600AF80E" w14:textId="2143C7C8" w:rsidR="00D43145" w:rsidRPr="00D43145" w:rsidRDefault="00D43145" w:rsidP="00865FD7">
      <w:pPr>
        <w:pStyle w:val="ListParagraph"/>
        <w:rPr>
          <w:lang w:val="en-US"/>
        </w:rPr>
      </w:pPr>
      <w:r>
        <w:rPr>
          <w:lang w:val="en-US"/>
        </w:rPr>
        <w:t xml:space="preserve">Keeping up with the latest developments so that maintenance is performed in smaller increments as the risks tend to increase with time. </w:t>
      </w:r>
    </w:p>
    <w:p w14:paraId="34E24DDE" w14:textId="77777777" w:rsidR="00D43145" w:rsidRDefault="00D43145" w:rsidP="00865FD7"/>
    <w:p w14:paraId="16492DC8" w14:textId="77777777" w:rsidR="00865FD7" w:rsidRDefault="00865FD7" w:rsidP="00865FD7">
      <w:pPr>
        <w:pStyle w:val="Heading1"/>
        <w:tabs>
          <w:tab w:val="clear" w:pos="567"/>
          <w:tab w:val="num" w:pos="432"/>
        </w:tabs>
        <w:ind w:left="432" w:hanging="432"/>
      </w:pPr>
      <w:r>
        <w:t>Proposed changes in the STF work plan</w:t>
      </w:r>
    </w:p>
    <w:p w14:paraId="74C5F0C6" w14:textId="6F233655" w:rsidR="00D43145" w:rsidRDefault="00D43145" w:rsidP="00865FD7">
      <w:r>
        <w:t>Despite a minor delay with the start of the work, the work plan has not been affected substantially. The most notable change is the postponed closing date for the STF in order to enable the experts to contribute to further dissemination activities, such as the UCAAT. Hence, during the preparatory meeting the closing date for the STF was moved from 30-Jun-2020 to 31-Oct-2020.</w:t>
      </w:r>
    </w:p>
    <w:p w14:paraId="2E583142" w14:textId="77777777" w:rsidR="00D43145" w:rsidRDefault="00D43145" w:rsidP="00865FD7"/>
    <w:p w14:paraId="69564820" w14:textId="77777777" w:rsidR="00865FD7" w:rsidRDefault="00865FD7" w:rsidP="00865FD7">
      <w:pPr>
        <w:pStyle w:val="Heading1"/>
        <w:tabs>
          <w:tab w:val="clear" w:pos="567"/>
          <w:tab w:val="num" w:pos="432"/>
        </w:tabs>
        <w:ind w:left="432" w:hanging="432"/>
      </w:pPr>
      <w:r>
        <w:t xml:space="preserve">Resources requirements </w:t>
      </w:r>
    </w:p>
    <w:p w14:paraId="4525B35D" w14:textId="307DD534" w:rsidR="00994747" w:rsidRPr="00994747" w:rsidRDefault="00994747" w:rsidP="00994747">
      <w:pPr>
        <w:rPr>
          <w:lang w:val="en-US"/>
        </w:rPr>
      </w:pPr>
      <w:r>
        <w:rPr>
          <w:lang w:val="en-US"/>
        </w:rPr>
        <w:t>No changes in the STF resource requirements are proposed at this point.</w:t>
      </w:r>
    </w:p>
    <w:p w14:paraId="575FE92A" w14:textId="77777777" w:rsidR="00865FD7" w:rsidRDefault="00865FD7" w:rsidP="00865FD7"/>
    <w:p w14:paraId="43EF6F7D" w14:textId="75150F43" w:rsidR="00865FD7" w:rsidRDefault="00865FD7" w:rsidP="00865FD7">
      <w:pPr>
        <w:pStyle w:val="Heading1"/>
        <w:tabs>
          <w:tab w:val="clear" w:pos="567"/>
          <w:tab w:val="num" w:pos="432"/>
        </w:tabs>
        <w:ind w:left="432" w:hanging="432"/>
      </w:pPr>
      <w:r>
        <w:t>Changes in the STF Team</w:t>
      </w:r>
    </w:p>
    <w:p w14:paraId="1B8E7F70" w14:textId="6CDB47B6" w:rsidR="00317009" w:rsidRDefault="00317009" w:rsidP="00865FD7">
      <w:r>
        <w:rPr>
          <w:lang w:val="en-US"/>
        </w:rPr>
        <w:t>No changes in the STF team are proposed at this point in time.</w:t>
      </w:r>
      <w:r>
        <w:t xml:space="preserve"> </w:t>
      </w:r>
    </w:p>
    <w:p w14:paraId="6E964BC1" w14:textId="77777777" w:rsidR="00317009" w:rsidRDefault="00317009" w:rsidP="00865FD7"/>
    <w:p w14:paraId="76615409" w14:textId="7F664E30" w:rsidR="00317009" w:rsidRPr="005D3245" w:rsidRDefault="00865FD7" w:rsidP="00317009">
      <w:pPr>
        <w:pStyle w:val="Heading1"/>
        <w:tabs>
          <w:tab w:val="clear" w:pos="567"/>
          <w:tab w:val="num" w:pos="432"/>
        </w:tabs>
        <w:ind w:left="432" w:hanging="432"/>
      </w:pPr>
      <w:r>
        <w:t>Meetings</w:t>
      </w:r>
      <w:r w:rsidR="00477312">
        <w:t>/events attended on behalf of the STF</w:t>
      </w:r>
    </w:p>
    <w:p w14:paraId="263A6259" w14:textId="142BFBA3" w:rsidR="00317009" w:rsidRDefault="00317009" w:rsidP="00317009">
      <w:pPr>
        <w:rPr>
          <w:lang w:val="en-US"/>
        </w:rPr>
      </w:pPr>
      <w:r>
        <w:rPr>
          <w:lang w:val="en-US"/>
        </w:rPr>
        <w:t>As the work of the STF has started only recently, no meeting on behalf of the STF have been attended by the experts so far.</w:t>
      </w:r>
    </w:p>
    <w:p w14:paraId="14969F96" w14:textId="77777777" w:rsidR="00317009" w:rsidRDefault="00317009" w:rsidP="00317009"/>
    <w:p w14:paraId="1FA4F6BC" w14:textId="1A89742B"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8"/>
        <w:gridCol w:w="1084"/>
        <w:gridCol w:w="1191"/>
        <w:gridCol w:w="2571"/>
        <w:gridCol w:w="2463"/>
        <w:gridCol w:w="1339"/>
      </w:tblGrid>
      <w:tr w:rsidR="00317009" w:rsidRPr="00EA3A63" w14:paraId="09CFA0F5" w14:textId="77777777" w:rsidTr="00317009">
        <w:tc>
          <w:tcPr>
            <w:tcW w:w="958" w:type="dxa"/>
            <w:shd w:val="clear" w:color="auto" w:fill="DBE5F1"/>
          </w:tcPr>
          <w:p w14:paraId="7DABD2BE" w14:textId="77777777" w:rsidR="00317009" w:rsidRPr="00BB0404" w:rsidRDefault="00317009" w:rsidP="00317009">
            <w:pPr>
              <w:rPr>
                <w:b/>
              </w:rPr>
            </w:pPr>
            <w:r w:rsidRPr="00BB0404">
              <w:rPr>
                <w:b/>
              </w:rPr>
              <w:t>Date</w:t>
            </w:r>
          </w:p>
        </w:tc>
        <w:tc>
          <w:tcPr>
            <w:tcW w:w="1084" w:type="dxa"/>
            <w:shd w:val="clear" w:color="auto" w:fill="DBE5F1"/>
          </w:tcPr>
          <w:p w14:paraId="43C0C686" w14:textId="77777777" w:rsidR="00317009" w:rsidRPr="00BB0404" w:rsidRDefault="00317009" w:rsidP="00317009">
            <w:pPr>
              <w:rPr>
                <w:b/>
              </w:rPr>
            </w:pPr>
            <w:r w:rsidRPr="00BB0404">
              <w:rPr>
                <w:b/>
              </w:rPr>
              <w:t>Place</w:t>
            </w:r>
          </w:p>
        </w:tc>
        <w:tc>
          <w:tcPr>
            <w:tcW w:w="1191" w:type="dxa"/>
            <w:shd w:val="clear" w:color="auto" w:fill="DBE5F1"/>
          </w:tcPr>
          <w:p w14:paraId="558CD420" w14:textId="77777777" w:rsidR="00317009" w:rsidRPr="00BB0404" w:rsidRDefault="00317009" w:rsidP="00317009">
            <w:pPr>
              <w:rPr>
                <w:b/>
              </w:rPr>
            </w:pPr>
            <w:r w:rsidRPr="00BB0404">
              <w:rPr>
                <w:b/>
              </w:rPr>
              <w:t>TB/</w:t>
            </w:r>
            <w:proofErr w:type="spellStart"/>
            <w:r w:rsidRPr="00BB0404">
              <w:rPr>
                <w:b/>
              </w:rPr>
              <w:t>Orga</w:t>
            </w:r>
            <w:proofErr w:type="spellEnd"/>
          </w:p>
        </w:tc>
        <w:tc>
          <w:tcPr>
            <w:tcW w:w="2571" w:type="dxa"/>
            <w:shd w:val="clear" w:color="auto" w:fill="DBE5F1"/>
          </w:tcPr>
          <w:p w14:paraId="16B2BA7A" w14:textId="77777777" w:rsidR="00317009" w:rsidRPr="00BB0404" w:rsidRDefault="00317009" w:rsidP="00317009">
            <w:pPr>
              <w:rPr>
                <w:b/>
              </w:rPr>
            </w:pPr>
            <w:r w:rsidRPr="00BB0404">
              <w:rPr>
                <w:b/>
              </w:rPr>
              <w:t>Event description</w:t>
            </w:r>
          </w:p>
        </w:tc>
        <w:tc>
          <w:tcPr>
            <w:tcW w:w="2463" w:type="dxa"/>
            <w:shd w:val="clear" w:color="auto" w:fill="DBE5F1"/>
          </w:tcPr>
          <w:p w14:paraId="61A88E8B" w14:textId="77777777" w:rsidR="00317009" w:rsidRPr="00BB0404" w:rsidRDefault="00317009" w:rsidP="00317009">
            <w:pPr>
              <w:rPr>
                <w:b/>
              </w:rPr>
            </w:pPr>
            <w:r w:rsidRPr="00BB0404">
              <w:rPr>
                <w:b/>
              </w:rPr>
              <w:t>Reason to attend</w:t>
            </w:r>
          </w:p>
        </w:tc>
        <w:tc>
          <w:tcPr>
            <w:tcW w:w="1339" w:type="dxa"/>
            <w:shd w:val="clear" w:color="auto" w:fill="DBE5F1"/>
          </w:tcPr>
          <w:p w14:paraId="1A715B7E" w14:textId="77777777" w:rsidR="00317009" w:rsidRPr="00BB0404" w:rsidRDefault="00317009" w:rsidP="00317009">
            <w:pPr>
              <w:rPr>
                <w:b/>
              </w:rPr>
            </w:pPr>
            <w:r w:rsidRPr="00BB0404">
              <w:rPr>
                <w:b/>
              </w:rPr>
              <w:t>Expert(s)</w:t>
            </w:r>
          </w:p>
        </w:tc>
      </w:tr>
      <w:tr w:rsidR="00317009" w:rsidRPr="00AE350E" w14:paraId="3B978569" w14:textId="77777777" w:rsidTr="00317009">
        <w:tc>
          <w:tcPr>
            <w:tcW w:w="958" w:type="dxa"/>
          </w:tcPr>
          <w:p w14:paraId="7D5E829C" w14:textId="5E162E13" w:rsidR="00317009" w:rsidRDefault="00317009" w:rsidP="00317009">
            <w:pPr>
              <w:jc w:val="left"/>
            </w:pPr>
            <w:r>
              <w:t>28-Jan-2020</w:t>
            </w:r>
          </w:p>
        </w:tc>
        <w:tc>
          <w:tcPr>
            <w:tcW w:w="1084" w:type="dxa"/>
          </w:tcPr>
          <w:p w14:paraId="2DC58FF0" w14:textId="686707EB" w:rsidR="00317009" w:rsidRDefault="00317009" w:rsidP="00317009">
            <w:pPr>
              <w:jc w:val="left"/>
            </w:pPr>
            <w:r>
              <w:t>Sophia-Antipolis</w:t>
            </w:r>
          </w:p>
        </w:tc>
        <w:tc>
          <w:tcPr>
            <w:tcW w:w="1191" w:type="dxa"/>
          </w:tcPr>
          <w:p w14:paraId="0F2FA802" w14:textId="77777777" w:rsidR="00317009" w:rsidRDefault="00317009" w:rsidP="00317009">
            <w:pPr>
              <w:jc w:val="left"/>
            </w:pPr>
            <w:r>
              <w:t>MTS</w:t>
            </w:r>
          </w:p>
        </w:tc>
        <w:tc>
          <w:tcPr>
            <w:tcW w:w="2571" w:type="dxa"/>
          </w:tcPr>
          <w:p w14:paraId="324D0295" w14:textId="0082375D" w:rsidR="00317009" w:rsidRDefault="00317009" w:rsidP="00317009">
            <w:pPr>
              <w:jc w:val="left"/>
            </w:pPr>
            <w:r>
              <w:t>MTS#79, MTS-TDL#3</w:t>
            </w:r>
          </w:p>
        </w:tc>
        <w:tc>
          <w:tcPr>
            <w:tcW w:w="2463" w:type="dxa"/>
          </w:tcPr>
          <w:p w14:paraId="4F68EE43" w14:textId="7D886605" w:rsidR="00317009" w:rsidRDefault="00317009" w:rsidP="00317009">
            <w:pPr>
              <w:jc w:val="left"/>
            </w:pPr>
            <w:r>
              <w:t>Present and discuss achievements of the STF up to that point, co-located working session.</w:t>
            </w:r>
          </w:p>
        </w:tc>
        <w:tc>
          <w:tcPr>
            <w:tcW w:w="1339" w:type="dxa"/>
          </w:tcPr>
          <w:p w14:paraId="23D60E75" w14:textId="77777777" w:rsidR="00317009" w:rsidRPr="00AE350E" w:rsidRDefault="00317009" w:rsidP="00317009">
            <w:pPr>
              <w:jc w:val="left"/>
              <w:rPr>
                <w:lang w:val="de-DE"/>
              </w:rPr>
            </w:pPr>
            <w:r w:rsidRPr="00AE350E">
              <w:rPr>
                <w:lang w:val="de-DE"/>
              </w:rPr>
              <w:t xml:space="preserve">Philip Makedonski (in </w:t>
            </w:r>
            <w:proofErr w:type="spellStart"/>
            <w:r w:rsidRPr="00AE350E">
              <w:rPr>
                <w:lang w:val="de-DE"/>
              </w:rPr>
              <w:t>person</w:t>
            </w:r>
            <w:proofErr w:type="spellEnd"/>
            <w:r w:rsidRPr="00AE350E">
              <w:rPr>
                <w:lang w:val="de-DE"/>
              </w:rPr>
              <w:t>),</w:t>
            </w:r>
          </w:p>
          <w:p w14:paraId="46D98AC2" w14:textId="77777777" w:rsidR="00317009" w:rsidRPr="00AE350E" w:rsidRDefault="00317009" w:rsidP="00317009">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 xml:space="preserve"> (in </w:t>
            </w:r>
            <w:proofErr w:type="spellStart"/>
            <w:r w:rsidRPr="00AE350E">
              <w:rPr>
                <w:lang w:val="de-DE"/>
              </w:rPr>
              <w:t>person</w:t>
            </w:r>
            <w:proofErr w:type="spellEnd"/>
            <w:r w:rsidRPr="00AE350E">
              <w:rPr>
                <w:lang w:val="de-DE"/>
              </w:rPr>
              <w:t>),</w:t>
            </w:r>
          </w:p>
          <w:p w14:paraId="07895BE8" w14:textId="74CD0EB8" w:rsidR="00317009" w:rsidRPr="00AE350E" w:rsidRDefault="00317009" w:rsidP="00317009">
            <w:pPr>
              <w:jc w:val="left"/>
              <w:rPr>
                <w:lang w:val="de-DE"/>
              </w:rPr>
            </w:pPr>
            <w:r w:rsidRPr="00AE350E">
              <w:rPr>
                <w:lang w:val="de-DE"/>
              </w:rPr>
              <w:t xml:space="preserve">Finn </w:t>
            </w:r>
            <w:proofErr w:type="spellStart"/>
            <w:r w:rsidRPr="00AE350E">
              <w:rPr>
                <w:lang w:val="de-DE"/>
              </w:rPr>
              <w:t>Kristoffersen</w:t>
            </w:r>
            <w:proofErr w:type="spellEnd"/>
            <w:r w:rsidRPr="00AE350E">
              <w:rPr>
                <w:lang w:val="de-DE"/>
              </w:rPr>
              <w:t xml:space="preserve"> (in </w:t>
            </w:r>
            <w:proofErr w:type="spellStart"/>
            <w:r w:rsidRPr="00AE350E">
              <w:rPr>
                <w:lang w:val="de-DE"/>
              </w:rPr>
              <w:t>person</w:t>
            </w:r>
            <w:proofErr w:type="spellEnd"/>
            <w:r w:rsidRPr="00AE350E">
              <w:rPr>
                <w:lang w:val="de-DE"/>
              </w:rPr>
              <w:t>)</w:t>
            </w:r>
          </w:p>
        </w:tc>
      </w:tr>
      <w:tr w:rsidR="00317009" w:rsidRPr="00EA3A63" w14:paraId="2BD9F0B5" w14:textId="77777777" w:rsidTr="00317009">
        <w:tc>
          <w:tcPr>
            <w:tcW w:w="958" w:type="dxa"/>
          </w:tcPr>
          <w:p w14:paraId="3EE5D47A" w14:textId="5C711398" w:rsidR="00317009" w:rsidRPr="00EA3A63" w:rsidRDefault="00317009" w:rsidP="00317009">
            <w:pPr>
              <w:jc w:val="left"/>
            </w:pPr>
            <w:r>
              <w:t>12-13-May-2020</w:t>
            </w:r>
          </w:p>
        </w:tc>
        <w:tc>
          <w:tcPr>
            <w:tcW w:w="1084" w:type="dxa"/>
          </w:tcPr>
          <w:p w14:paraId="1215232A" w14:textId="1B3ABAC7" w:rsidR="00317009" w:rsidRPr="00EA3A63" w:rsidRDefault="00317009" w:rsidP="00317009">
            <w:pPr>
              <w:jc w:val="left"/>
            </w:pPr>
            <w:r>
              <w:t>Budapest</w:t>
            </w:r>
          </w:p>
        </w:tc>
        <w:tc>
          <w:tcPr>
            <w:tcW w:w="1191" w:type="dxa"/>
          </w:tcPr>
          <w:p w14:paraId="4FF2C9BD" w14:textId="74BEC9D2" w:rsidR="00317009" w:rsidRPr="00EA3A63" w:rsidRDefault="00317009" w:rsidP="00317009">
            <w:pPr>
              <w:jc w:val="left"/>
            </w:pPr>
            <w:r>
              <w:t>MTS</w:t>
            </w:r>
          </w:p>
        </w:tc>
        <w:tc>
          <w:tcPr>
            <w:tcW w:w="2571" w:type="dxa"/>
          </w:tcPr>
          <w:p w14:paraId="30323C71" w14:textId="24B8CCC3" w:rsidR="00317009" w:rsidRPr="00EA3A63" w:rsidRDefault="00317009" w:rsidP="00317009">
            <w:pPr>
              <w:jc w:val="left"/>
            </w:pPr>
            <w:r>
              <w:t>MTS#80, MTS-TDL#4</w:t>
            </w:r>
          </w:p>
        </w:tc>
        <w:tc>
          <w:tcPr>
            <w:tcW w:w="2463" w:type="dxa"/>
          </w:tcPr>
          <w:p w14:paraId="12457A4B" w14:textId="78CCFC07" w:rsidR="00317009" w:rsidRPr="00EA3A63" w:rsidRDefault="00317009" w:rsidP="00317009">
            <w:pPr>
              <w:jc w:val="left"/>
            </w:pPr>
            <w:r>
              <w:t>Present and discuss achievements of the STF up to that point, co-located working session.</w:t>
            </w:r>
          </w:p>
        </w:tc>
        <w:tc>
          <w:tcPr>
            <w:tcW w:w="1339" w:type="dxa"/>
          </w:tcPr>
          <w:p w14:paraId="0E714E6A" w14:textId="60941893" w:rsidR="00317009" w:rsidRPr="00EA3A63" w:rsidRDefault="00317009" w:rsidP="00317009">
            <w:pPr>
              <w:jc w:val="left"/>
            </w:pPr>
            <w:r>
              <w:t xml:space="preserve">Philip Makedonski (in person), </w:t>
            </w:r>
            <w:proofErr w:type="spellStart"/>
            <w:r>
              <w:t>Martti</w:t>
            </w:r>
            <w:proofErr w:type="spellEnd"/>
            <w:r>
              <w:t xml:space="preserve"> </w:t>
            </w:r>
            <w:proofErr w:type="spellStart"/>
            <w:r w:rsidRPr="00C92373">
              <w:t>Käärik</w:t>
            </w:r>
            <w:proofErr w:type="spellEnd"/>
            <w:r>
              <w:t xml:space="preserve"> (in person)</w:t>
            </w:r>
          </w:p>
        </w:tc>
      </w:tr>
      <w:tr w:rsidR="00317009" w:rsidRPr="00EA3A63" w14:paraId="057EDB3D" w14:textId="77777777" w:rsidTr="00317009">
        <w:tc>
          <w:tcPr>
            <w:tcW w:w="958" w:type="dxa"/>
          </w:tcPr>
          <w:p w14:paraId="62F40C12" w14:textId="26C056C9" w:rsidR="00317009" w:rsidRDefault="00317009" w:rsidP="00317009">
            <w:pPr>
              <w:jc w:val="left"/>
            </w:pPr>
            <w:r>
              <w:t>Sep-2020</w:t>
            </w:r>
          </w:p>
        </w:tc>
        <w:tc>
          <w:tcPr>
            <w:tcW w:w="1084" w:type="dxa"/>
          </w:tcPr>
          <w:p w14:paraId="477FF0D8" w14:textId="77777777" w:rsidR="00317009" w:rsidRDefault="00317009" w:rsidP="00317009">
            <w:pPr>
              <w:jc w:val="left"/>
            </w:pPr>
            <w:r>
              <w:t>TBA</w:t>
            </w:r>
          </w:p>
        </w:tc>
        <w:tc>
          <w:tcPr>
            <w:tcW w:w="1191" w:type="dxa"/>
          </w:tcPr>
          <w:p w14:paraId="1247744D" w14:textId="77777777" w:rsidR="00317009" w:rsidRDefault="00317009" w:rsidP="00317009">
            <w:pPr>
              <w:jc w:val="left"/>
            </w:pPr>
            <w:r>
              <w:t>MTS</w:t>
            </w:r>
          </w:p>
        </w:tc>
        <w:tc>
          <w:tcPr>
            <w:tcW w:w="2571" w:type="dxa"/>
          </w:tcPr>
          <w:p w14:paraId="5A455BAD" w14:textId="54EB7E2A" w:rsidR="00317009" w:rsidRDefault="00317009" w:rsidP="00317009">
            <w:pPr>
              <w:jc w:val="left"/>
            </w:pPr>
            <w:r>
              <w:t>MTS#81, MTS-TDL#5</w:t>
            </w:r>
          </w:p>
        </w:tc>
        <w:tc>
          <w:tcPr>
            <w:tcW w:w="2463" w:type="dxa"/>
          </w:tcPr>
          <w:p w14:paraId="31DAF469" w14:textId="246C3FBA" w:rsidR="00317009" w:rsidRDefault="00317009" w:rsidP="00317009">
            <w:pPr>
              <w:jc w:val="left"/>
            </w:pPr>
            <w:r>
              <w:t>Present and discuss achievements of the STF up to that point, co-located working session.</w:t>
            </w:r>
          </w:p>
        </w:tc>
        <w:tc>
          <w:tcPr>
            <w:tcW w:w="1339" w:type="dxa"/>
          </w:tcPr>
          <w:p w14:paraId="37DF1D96" w14:textId="77777777" w:rsidR="00317009" w:rsidRDefault="00317009" w:rsidP="00317009">
            <w:pPr>
              <w:jc w:val="left"/>
            </w:pPr>
            <w:r>
              <w:t>TBA</w:t>
            </w:r>
          </w:p>
        </w:tc>
      </w:tr>
    </w:tbl>
    <w:p w14:paraId="169A445F" w14:textId="77777777" w:rsidR="00477312" w:rsidRDefault="00477312" w:rsidP="00477312">
      <w:pPr>
        <w:rPr>
          <w:lang w:val="en-US"/>
        </w:rPr>
      </w:pPr>
    </w:p>
    <w:p w14:paraId="373D9B39" w14:textId="77777777" w:rsidR="00477312" w:rsidRPr="00477312" w:rsidRDefault="00477312" w:rsidP="00477312">
      <w:pPr>
        <w:rPr>
          <w:lang w:val="en-US"/>
        </w:rPr>
      </w:pPr>
    </w:p>
    <w:p w14:paraId="5178A1B6"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1AD8E6F6" w14:textId="77777777" w:rsidR="004A5CF0" w:rsidRDefault="004A5CF0" w:rsidP="004A5CF0">
      <w:pPr>
        <w:rPr>
          <w:lang w:val="en-US"/>
        </w:rPr>
      </w:pPr>
      <w:r>
        <w:rPr>
          <w:lang w:val="en-US"/>
        </w:rPr>
        <w:t>The following activities related to the communication, presentation, and promotion of the work of the STF have been considered, planned, and/or performed:</w:t>
      </w:r>
    </w:p>
    <w:p w14:paraId="322B886E" w14:textId="245745A8" w:rsidR="004A5CF0" w:rsidRDefault="004A5CF0" w:rsidP="004A5CF0">
      <w:pPr>
        <w:pStyle w:val="ListParagraph"/>
        <w:rPr>
          <w:lang w:val="en-US"/>
        </w:rPr>
      </w:pPr>
      <w:r>
        <w:rPr>
          <w:lang w:val="en-US"/>
        </w:rPr>
        <w:t xml:space="preserve">Members of the STF set up a booth at the UCAAT 2019 to promote TDL and the work of the STF, resulting in numerous constructive discussions with </w:t>
      </w:r>
      <w:r w:rsidR="00794356">
        <w:rPr>
          <w:lang w:val="en-US"/>
        </w:rPr>
        <w:t>other participants at the event.</w:t>
      </w:r>
      <w:r>
        <w:rPr>
          <w:lang w:val="en-US"/>
        </w:rPr>
        <w:t xml:space="preserve"> </w:t>
      </w:r>
    </w:p>
    <w:p w14:paraId="1E72E619" w14:textId="2F1ACCB2" w:rsidR="004A5CF0" w:rsidRDefault="004A5CF0" w:rsidP="004A5CF0">
      <w:pPr>
        <w:pStyle w:val="ListParagraph"/>
        <w:rPr>
          <w:lang w:val="en-US"/>
        </w:rPr>
      </w:pPr>
      <w:r w:rsidRPr="00D753E6">
        <w:rPr>
          <w:lang w:val="en-US"/>
        </w:rPr>
        <w:t xml:space="preserve">Ongoing dissemination activities from STF members from research institutions include raising awareness and promoting TDL on their respective websites and within teaching and research activities. </w:t>
      </w:r>
    </w:p>
    <w:p w14:paraId="38F21504" w14:textId="61911361" w:rsidR="004A5CF0" w:rsidRDefault="004A5CF0" w:rsidP="004A5CF0">
      <w:pPr>
        <w:pStyle w:val="ListParagraph"/>
        <w:jc w:val="left"/>
        <w:rPr>
          <w:lang w:val="en-US"/>
        </w:rPr>
      </w:pPr>
      <w:r w:rsidRPr="00D753E6">
        <w:rPr>
          <w:lang w:val="en-US"/>
        </w:rPr>
        <w:t xml:space="preserve">A website for the STF </w:t>
      </w:r>
      <w:r>
        <w:rPr>
          <w:lang w:val="en-US"/>
        </w:rPr>
        <w:t xml:space="preserve">has </w:t>
      </w:r>
      <w:r w:rsidRPr="00D753E6">
        <w:rPr>
          <w:lang w:val="en-US"/>
        </w:rPr>
        <w:t>be</w:t>
      </w:r>
      <w:r>
        <w:rPr>
          <w:lang w:val="en-US"/>
        </w:rPr>
        <w:t>en</w:t>
      </w:r>
      <w:r w:rsidRPr="00D753E6">
        <w:rPr>
          <w:lang w:val="en-US"/>
        </w:rPr>
        <w:t xml:space="preserve"> published </w:t>
      </w:r>
      <w:r>
        <w:rPr>
          <w:lang w:val="en-US"/>
        </w:rPr>
        <w:t>on the ETSI portal at:</w:t>
      </w:r>
      <w:r>
        <w:rPr>
          <w:lang w:val="en-US"/>
        </w:rPr>
        <w:br/>
      </w:r>
      <w:hyperlink r:id="rId8" w:history="1">
        <w:r w:rsidRPr="00241292">
          <w:rPr>
            <w:rStyle w:val="Hyperlink"/>
            <w:lang w:val="en-US"/>
          </w:rPr>
          <w:t>https://portal.etsi.org/STF/STFs/STF-HomePages/STF577</w:t>
        </w:r>
      </w:hyperlink>
      <w:r>
        <w:rPr>
          <w:lang w:val="en-US"/>
        </w:rPr>
        <w:t xml:space="preserve"> </w:t>
      </w:r>
    </w:p>
    <w:p w14:paraId="3A1CFC51" w14:textId="2105EB0D" w:rsidR="004A5CF0" w:rsidRDefault="004A5CF0" w:rsidP="004A5CF0">
      <w:pPr>
        <w:pStyle w:val="ListParagraph"/>
        <w:rPr>
          <w:lang w:val="en-US"/>
        </w:rPr>
      </w:pPr>
      <w:r>
        <w:rPr>
          <w:lang w:val="en-US"/>
        </w:rPr>
        <w:lastRenderedPageBreak/>
        <w:t xml:space="preserve">The official TDL website aggregating all resources related to TDL and its implementation is being updated and extended with new information. It is available at: </w:t>
      </w:r>
      <w:hyperlink r:id="rId9" w:history="1">
        <w:r w:rsidRPr="00241292">
          <w:rPr>
            <w:rStyle w:val="Hyperlink"/>
            <w:lang w:val="en-US"/>
          </w:rPr>
          <w:t>https://tdl.etsi.org</w:t>
        </w:r>
      </w:hyperlink>
      <w:r>
        <w:rPr>
          <w:lang w:val="en-US"/>
        </w:rPr>
        <w:t xml:space="preserve"> </w:t>
      </w:r>
    </w:p>
    <w:p w14:paraId="05087C4E" w14:textId="23842ED8" w:rsidR="004A5CF0" w:rsidRDefault="004A5CF0" w:rsidP="004A5CF0">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sidR="00994747">
        <w:rPr>
          <w:lang w:val="en-US"/>
        </w:rPr>
        <w:t xml:space="preserve"> Change requests can be submitted at: </w:t>
      </w:r>
      <w:hyperlink r:id="rId10" w:history="1">
        <w:r w:rsidR="00994747" w:rsidRPr="00D178B3">
          <w:rPr>
            <w:rStyle w:val="Hyperlink"/>
            <w:lang w:val="en-US"/>
          </w:rPr>
          <w:t>http://oldforge.etsi.org/mantis/view_all_bug_page.php</w:t>
        </w:r>
      </w:hyperlink>
      <w:r w:rsidR="00994747">
        <w:rPr>
          <w:lang w:val="en-US"/>
        </w:rPr>
        <w:t xml:space="preserve"> </w:t>
      </w:r>
      <w:r w:rsidRPr="00D753E6">
        <w:rPr>
          <w:lang w:val="en-US"/>
        </w:rPr>
        <w:t xml:space="preserve"> </w:t>
      </w:r>
    </w:p>
    <w:p w14:paraId="3AC46163" w14:textId="77777777" w:rsidR="004A5CF0" w:rsidRDefault="004A5CF0" w:rsidP="00865FD7"/>
    <w:p w14:paraId="340AC9E2" w14:textId="59A8102A" w:rsidR="00865FD7" w:rsidRDefault="00865FD7" w:rsidP="00865FD7">
      <w:pPr>
        <w:pStyle w:val="Heading1"/>
        <w:tabs>
          <w:tab w:val="clear" w:pos="567"/>
          <w:tab w:val="num" w:pos="432"/>
        </w:tabs>
        <w:ind w:left="432" w:hanging="432"/>
      </w:pPr>
      <w:r>
        <w:t>Technical advice required from the reference Technical Body</w:t>
      </w:r>
    </w:p>
    <w:p w14:paraId="6B611390" w14:textId="60DF3BEF" w:rsidR="00317009" w:rsidRDefault="00317009" w:rsidP="00317009">
      <w:r>
        <w:rPr>
          <w:lang w:val="en-US"/>
        </w:rPr>
        <w:t xml:space="preserve">A working group has been assembled by TC MTS to provide technical guidance and expert advice during technical sessions with the STF and dedicated working group meetings. Up to this point, the </w:t>
      </w:r>
      <w:r w:rsidR="004A5CF0">
        <w:rPr>
          <w:lang w:val="en-US"/>
        </w:rPr>
        <w:t>working</w:t>
      </w:r>
      <w:r>
        <w:rPr>
          <w:lang w:val="en-US"/>
        </w:rPr>
        <w:t xml:space="preserve"> group </w:t>
      </w:r>
      <w:r w:rsidR="004A5CF0">
        <w:rPr>
          <w:lang w:val="en-US"/>
        </w:rPr>
        <w:t xml:space="preserve">and the TB </w:t>
      </w:r>
      <w:r>
        <w:rPr>
          <w:lang w:val="en-US"/>
        </w:rPr>
        <w:t>ha</w:t>
      </w:r>
      <w:r w:rsidR="004A5CF0">
        <w:rPr>
          <w:lang w:val="en-US"/>
        </w:rPr>
        <w:t>ve</w:t>
      </w:r>
      <w:r>
        <w:rPr>
          <w:lang w:val="en-US"/>
        </w:rPr>
        <w:t xml:space="preserve"> been supporting the work of the STF very well, with technical </w:t>
      </w:r>
      <w:r w:rsidR="004A5CF0">
        <w:rPr>
          <w:lang w:val="en-US"/>
        </w:rPr>
        <w:t>discussions and advice during the regular conference calls</w:t>
      </w:r>
      <w:r>
        <w:rPr>
          <w:lang w:val="en-US"/>
        </w:rPr>
        <w:t xml:space="preserve"> to discuss the progress of the STF and any open questions or unresolved disagreements.</w:t>
      </w:r>
    </w:p>
    <w:p w14:paraId="25132AE3" w14:textId="77777777" w:rsidR="00317009" w:rsidRDefault="00317009" w:rsidP="00865FD7"/>
    <w:p w14:paraId="16F613CD" w14:textId="5FA3CBF4" w:rsidR="00865FD7" w:rsidRDefault="00865FD7" w:rsidP="00865FD7">
      <w:pPr>
        <w:pStyle w:val="Heading1"/>
        <w:tabs>
          <w:tab w:val="clear" w:pos="567"/>
          <w:tab w:val="num" w:pos="432"/>
        </w:tabs>
        <w:ind w:left="432" w:hanging="432"/>
      </w:pPr>
      <w:r>
        <w:t>Status of the deliverables</w:t>
      </w:r>
      <w:bookmarkStart w:id="4" w:name="_GoBack"/>
      <w:bookmarkEnd w:id="4"/>
    </w:p>
    <w:p w14:paraId="0ADF3C51" w14:textId="0CEB4A37" w:rsidR="004A5CF0" w:rsidRDefault="004A5CF0" w:rsidP="004A5CF0">
      <w:pPr>
        <w:rPr>
          <w:lang w:val="en-US"/>
        </w:rPr>
      </w:pPr>
      <w:r>
        <w:rPr>
          <w:lang w:val="en-US"/>
        </w:rPr>
        <w:t>Milestone A is comprised of the following deliverables:</w:t>
      </w:r>
    </w:p>
    <w:p w14:paraId="3119A5C0" w14:textId="77777777" w:rsidR="004A5CF0" w:rsidRDefault="004A5CF0" w:rsidP="004A5CF0">
      <w:pPr>
        <w:rPr>
          <w:lang w:val="en-US"/>
        </w:rPr>
      </w:pPr>
    </w:p>
    <w:p w14:paraId="0F359428" w14:textId="77777777" w:rsidR="006135C1" w:rsidRPr="006135C1" w:rsidRDefault="004A5CF0" w:rsidP="004A5CF0">
      <w:pPr>
        <w:pStyle w:val="ListParagraph"/>
      </w:pPr>
      <w:r w:rsidRPr="006135C1">
        <w:t>A draft of ES 203 119-1 v1.</w:t>
      </w:r>
      <w:r w:rsidR="00994747" w:rsidRPr="006135C1">
        <w:t>5</w:t>
      </w:r>
      <w:r w:rsidRPr="006135C1">
        <w:t xml:space="preserve">.1, </w:t>
      </w:r>
      <w:r w:rsidR="006135C1" w:rsidRPr="006135C1">
        <w:t>submitted for remote consensus on 31-Jan-2020.</w:t>
      </w:r>
    </w:p>
    <w:p w14:paraId="4A56240E" w14:textId="77777777" w:rsidR="006135C1" w:rsidRPr="006135C1" w:rsidRDefault="004A5CF0" w:rsidP="006135C1">
      <w:pPr>
        <w:pStyle w:val="ListParagraph"/>
      </w:pPr>
      <w:r w:rsidRPr="006135C1">
        <w:t>A draft of ES 203 119-2 v1.</w:t>
      </w:r>
      <w:r w:rsidR="00994747" w:rsidRPr="006135C1">
        <w:t>4</w:t>
      </w:r>
      <w:r w:rsidRPr="006135C1">
        <w:t xml:space="preserve">.1, </w:t>
      </w:r>
      <w:r w:rsidR="006135C1" w:rsidRPr="006135C1">
        <w:t>submitted for remote consensus on 31-Jan-2020.</w:t>
      </w:r>
    </w:p>
    <w:p w14:paraId="68AAC9D1" w14:textId="62B98E6F" w:rsidR="004A5CF0" w:rsidRPr="006135C1" w:rsidRDefault="004A5CF0" w:rsidP="006135C1">
      <w:pPr>
        <w:pStyle w:val="ListParagraph"/>
      </w:pPr>
      <w:r w:rsidRPr="006135C1">
        <w:t>A draft of ES 203 119-3 v1.</w:t>
      </w:r>
      <w:r w:rsidR="00994747" w:rsidRPr="006135C1">
        <w:t>4</w:t>
      </w:r>
      <w:r w:rsidRPr="006135C1">
        <w:t xml:space="preserve">.1, </w:t>
      </w:r>
      <w:r w:rsidR="006135C1" w:rsidRPr="006135C1">
        <w:t>submitted for remote consensus on 31-Jan-2020.</w:t>
      </w:r>
      <w:r w:rsidRPr="006135C1">
        <w:t xml:space="preserve"> </w:t>
      </w:r>
    </w:p>
    <w:p w14:paraId="44E9574E" w14:textId="1F13469F" w:rsidR="004A5CF0" w:rsidRPr="006135C1" w:rsidRDefault="004A5CF0" w:rsidP="006135C1">
      <w:pPr>
        <w:pStyle w:val="ListParagraph"/>
      </w:pPr>
      <w:r w:rsidRPr="006135C1">
        <w:t>A draft of ES 203 119-4 v1.</w:t>
      </w:r>
      <w:r w:rsidR="00994747" w:rsidRPr="006135C1">
        <w:t>4</w:t>
      </w:r>
      <w:r w:rsidRPr="006135C1">
        <w:t xml:space="preserve">.1, </w:t>
      </w:r>
      <w:r w:rsidR="006135C1" w:rsidRPr="006135C1">
        <w:t>submitted for remote consensus on 31-Jan-2020.</w:t>
      </w:r>
      <w:r w:rsidRPr="006135C1">
        <w:t xml:space="preserve"> </w:t>
      </w:r>
    </w:p>
    <w:p w14:paraId="789F1B17" w14:textId="77777777" w:rsidR="004A5CF0" w:rsidRDefault="004A5CF0" w:rsidP="00865FD7"/>
    <w:p w14:paraId="79625112" w14:textId="77777777" w:rsidR="00865FD7" w:rsidRDefault="00865FD7" w:rsidP="00865FD7">
      <w:pPr>
        <w:pStyle w:val="Heading1"/>
        <w:tabs>
          <w:tab w:val="clear" w:pos="567"/>
          <w:tab w:val="num" w:pos="432"/>
        </w:tabs>
        <w:ind w:left="432" w:hanging="432"/>
      </w:pPr>
      <w:r>
        <w:t>Next report</w:t>
      </w:r>
    </w:p>
    <w:p w14:paraId="4BCD292F" w14:textId="6EA078BD" w:rsidR="00865FD7" w:rsidRDefault="00865FD7" w:rsidP="00865FD7">
      <w:r>
        <w:t xml:space="preserve">The next report is scheduled for: </w:t>
      </w:r>
      <w:r w:rsidR="005D0F03">
        <w:t>12-May-2020.</w:t>
      </w:r>
    </w:p>
    <w:p w14:paraId="18B1BD7A" w14:textId="77777777" w:rsidR="00865FD7" w:rsidRDefault="00865FD7" w:rsidP="00865FD7"/>
    <w:p w14:paraId="75BEBD25" w14:textId="77777777" w:rsidR="00865FD7" w:rsidRDefault="00865FD7" w:rsidP="00865FD7">
      <w:pPr>
        <w:pStyle w:val="Heading1"/>
        <w:tabs>
          <w:tab w:val="clear" w:pos="567"/>
          <w:tab w:val="num" w:pos="432"/>
        </w:tabs>
        <w:ind w:left="432" w:hanging="432"/>
      </w:pPr>
      <w:r>
        <w:t>Any other business</w:t>
      </w:r>
    </w:p>
    <w:p w14:paraId="316B2DC0" w14:textId="2D789B08" w:rsidR="00865FD7" w:rsidRDefault="005D0F03" w:rsidP="00865FD7">
      <w:r>
        <w:t>None.</w:t>
      </w:r>
    </w:p>
    <w:p w14:paraId="77C6FB95" w14:textId="77777777" w:rsidR="00865FD7" w:rsidRPr="0033742F" w:rsidRDefault="00865FD7" w:rsidP="0033742F"/>
    <w:sectPr w:rsidR="00865FD7" w:rsidRPr="0033742F" w:rsidSect="00F575A8">
      <w:headerReference w:type="first" r:id="rId1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D135" w14:textId="77777777" w:rsidR="00994747" w:rsidRDefault="00994747">
      <w:r>
        <w:separator/>
      </w:r>
    </w:p>
  </w:endnote>
  <w:endnote w:type="continuationSeparator" w:id="0">
    <w:p w14:paraId="605155EF" w14:textId="77777777" w:rsidR="00994747" w:rsidRDefault="0099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855B" w14:textId="77777777" w:rsidR="00994747" w:rsidRDefault="00994747">
      <w:r>
        <w:separator/>
      </w:r>
    </w:p>
  </w:footnote>
  <w:footnote w:type="continuationSeparator" w:id="0">
    <w:p w14:paraId="1BAD5667" w14:textId="77777777" w:rsidR="00994747" w:rsidRDefault="0099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Content>
      <w:p w14:paraId="4DE03115" w14:textId="77777777" w:rsidR="00994747" w:rsidRDefault="00994747"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3C59EA1F" wp14:editId="60777D47">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3</w:t>
        </w:r>
        <w:r w:rsidRPr="00EE21FF">
          <w:rPr>
            <w:b w:val="0"/>
            <w:bCs/>
            <w:sz w:val="20"/>
          </w:rPr>
          <w:fldChar w:fldCharType="end"/>
        </w:r>
      </w:p>
      <w:p w14:paraId="2CC7C9EC" w14:textId="77777777" w:rsidR="00994747" w:rsidRDefault="00994747" w:rsidP="00DE476F">
        <w:pPr>
          <w:pStyle w:val="Header"/>
          <w:jc w:val="right"/>
          <w:rPr>
            <w:b w:val="0"/>
            <w:sz w:val="20"/>
          </w:rPr>
        </w:pPr>
      </w:p>
    </w:sdtContent>
  </w:sdt>
  <w:p w14:paraId="079A2DAB" w14:textId="77777777" w:rsidR="00994747" w:rsidRPr="00DE476F" w:rsidRDefault="00994747"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08"/>
    <w:rsid w:val="00016062"/>
    <w:rsid w:val="00023CD4"/>
    <w:rsid w:val="00036FB9"/>
    <w:rsid w:val="000633C1"/>
    <w:rsid w:val="00064203"/>
    <w:rsid w:val="00067A31"/>
    <w:rsid w:val="00083911"/>
    <w:rsid w:val="0008414C"/>
    <w:rsid w:val="000A1222"/>
    <w:rsid w:val="000A64E3"/>
    <w:rsid w:val="000A6769"/>
    <w:rsid w:val="000C75E1"/>
    <w:rsid w:val="000F25C6"/>
    <w:rsid w:val="000F2D9E"/>
    <w:rsid w:val="000F3FC0"/>
    <w:rsid w:val="00140EDE"/>
    <w:rsid w:val="0014183B"/>
    <w:rsid w:val="0014707A"/>
    <w:rsid w:val="00163587"/>
    <w:rsid w:val="00184D17"/>
    <w:rsid w:val="00190FCC"/>
    <w:rsid w:val="00197C46"/>
    <w:rsid w:val="001E1355"/>
    <w:rsid w:val="001E2081"/>
    <w:rsid w:val="001F6978"/>
    <w:rsid w:val="00213182"/>
    <w:rsid w:val="002361ED"/>
    <w:rsid w:val="00244D2C"/>
    <w:rsid w:val="002615CE"/>
    <w:rsid w:val="00276292"/>
    <w:rsid w:val="00276A09"/>
    <w:rsid w:val="002803EC"/>
    <w:rsid w:val="002967EE"/>
    <w:rsid w:val="002A68DB"/>
    <w:rsid w:val="002E42E6"/>
    <w:rsid w:val="00301EAE"/>
    <w:rsid w:val="003022ED"/>
    <w:rsid w:val="00314B9B"/>
    <w:rsid w:val="0031644D"/>
    <w:rsid w:val="00317009"/>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612C"/>
    <w:rsid w:val="00445071"/>
    <w:rsid w:val="00463495"/>
    <w:rsid w:val="00477312"/>
    <w:rsid w:val="0048577A"/>
    <w:rsid w:val="004876E5"/>
    <w:rsid w:val="004A04B1"/>
    <w:rsid w:val="004A5CF0"/>
    <w:rsid w:val="004D5AD2"/>
    <w:rsid w:val="00500427"/>
    <w:rsid w:val="005203E7"/>
    <w:rsid w:val="00520BBA"/>
    <w:rsid w:val="005510D7"/>
    <w:rsid w:val="0055582E"/>
    <w:rsid w:val="0057496D"/>
    <w:rsid w:val="00583470"/>
    <w:rsid w:val="00583C73"/>
    <w:rsid w:val="0058585B"/>
    <w:rsid w:val="00597F7E"/>
    <w:rsid w:val="005B2629"/>
    <w:rsid w:val="005B335B"/>
    <w:rsid w:val="005B34D5"/>
    <w:rsid w:val="005B58E9"/>
    <w:rsid w:val="005D0F03"/>
    <w:rsid w:val="005D3245"/>
    <w:rsid w:val="005D3D4F"/>
    <w:rsid w:val="005E567D"/>
    <w:rsid w:val="006135C1"/>
    <w:rsid w:val="00645150"/>
    <w:rsid w:val="00690DE7"/>
    <w:rsid w:val="00696899"/>
    <w:rsid w:val="006B7120"/>
    <w:rsid w:val="006D2D66"/>
    <w:rsid w:val="006D3EF6"/>
    <w:rsid w:val="006F0340"/>
    <w:rsid w:val="00722585"/>
    <w:rsid w:val="0073374A"/>
    <w:rsid w:val="00771F98"/>
    <w:rsid w:val="00794356"/>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4129A"/>
    <w:rsid w:val="00994747"/>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C34E8"/>
    <w:rsid w:val="00AE32BB"/>
    <w:rsid w:val="00AE350E"/>
    <w:rsid w:val="00AE5652"/>
    <w:rsid w:val="00AF1CF3"/>
    <w:rsid w:val="00AF5D04"/>
    <w:rsid w:val="00B0264B"/>
    <w:rsid w:val="00B15523"/>
    <w:rsid w:val="00B326CA"/>
    <w:rsid w:val="00BB0404"/>
    <w:rsid w:val="00BB0AAB"/>
    <w:rsid w:val="00BB6EE0"/>
    <w:rsid w:val="00BD5E6F"/>
    <w:rsid w:val="00BE376D"/>
    <w:rsid w:val="00BE5671"/>
    <w:rsid w:val="00BE68E2"/>
    <w:rsid w:val="00BE7E88"/>
    <w:rsid w:val="00C17773"/>
    <w:rsid w:val="00C374FE"/>
    <w:rsid w:val="00C435B8"/>
    <w:rsid w:val="00C66759"/>
    <w:rsid w:val="00C92B25"/>
    <w:rsid w:val="00CC3B43"/>
    <w:rsid w:val="00D03C0F"/>
    <w:rsid w:val="00D064F9"/>
    <w:rsid w:val="00D15D73"/>
    <w:rsid w:val="00D163F1"/>
    <w:rsid w:val="00D32BEB"/>
    <w:rsid w:val="00D3357A"/>
    <w:rsid w:val="00D43145"/>
    <w:rsid w:val="00D67227"/>
    <w:rsid w:val="00D73E08"/>
    <w:rsid w:val="00D81142"/>
    <w:rsid w:val="00DA4C70"/>
    <w:rsid w:val="00DA7072"/>
    <w:rsid w:val="00DA796B"/>
    <w:rsid w:val="00DE476F"/>
    <w:rsid w:val="00E22CDB"/>
    <w:rsid w:val="00E32B38"/>
    <w:rsid w:val="00E41D46"/>
    <w:rsid w:val="00E504A2"/>
    <w:rsid w:val="00E63973"/>
    <w:rsid w:val="00EA3A63"/>
    <w:rsid w:val="00EE21FF"/>
    <w:rsid w:val="00EF59F4"/>
    <w:rsid w:val="00F04B86"/>
    <w:rsid w:val="00F2785A"/>
    <w:rsid w:val="00F42756"/>
    <w:rsid w:val="00F575A8"/>
    <w:rsid w:val="00F616D4"/>
    <w:rsid w:val="00F6311E"/>
    <w:rsid w:val="00F734DF"/>
    <w:rsid w:val="00F73C08"/>
    <w:rsid w:val="00F8677E"/>
    <w:rsid w:val="00FD068E"/>
    <w:rsid w:val="00FE5E6D"/>
    <w:rsid w:val="00FE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5803DE"/>
  <w15:docId w15:val="{2F811677-F508-4B54-B08E-607CB13F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58585B"/>
    <w:pPr>
      <w:shd w:val="clear" w:color="auto" w:fill="FFF2CC" w:themeFill="accent4" w:themeFillTint="33"/>
    </w:pPr>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34"/>
    <w:qFormat/>
    <w:rsid w:val="005D0F03"/>
    <w:pPr>
      <w:numPr>
        <w:numId w:val="39"/>
      </w:numPr>
      <w:ind w:left="576" w:hanging="288"/>
      <w:contextualSpacing/>
    </w:pPr>
  </w:style>
  <w:style w:type="character" w:styleId="UnresolvedMention">
    <w:name w:val="Unresolved Mention"/>
    <w:basedOn w:val="DefaultParagraphFont"/>
    <w:uiPriority w:val="99"/>
    <w:semiHidden/>
    <w:unhideWhenUsed/>
    <w:rsid w:val="004A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STF/STFs/STF-HomePages/STF5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ldforge.etsi.org/mantis/view_all_bug_page.php" TargetMode="External"/><Relationship Id="rId4" Type="http://schemas.openxmlformats.org/officeDocument/2006/relationships/settings" Target="settings.xml"/><Relationship Id="rId9" Type="http://schemas.openxmlformats.org/officeDocument/2006/relationships/hyperlink" Target="https://tdl.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Progress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6FF5-5719-634C-9382-DBB7DE99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etsi\fileservices\Units\RES\FPS\CONTRACTS\NAV_Documents\Final_versions\STF_Progress_Report.dotx</Template>
  <TotalTime>98</TotalTime>
  <Pages>5</Pages>
  <Words>1749</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6</cp:revision>
  <cp:lastPrinted>2003-06-24T07:18:00Z</cp:lastPrinted>
  <dcterms:created xsi:type="dcterms:W3CDTF">2019-12-23T10:31:00Z</dcterms:created>
  <dcterms:modified xsi:type="dcterms:W3CDTF">2020-01-29T08:30:00Z</dcterms:modified>
</cp:coreProperties>
</file>