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155"/>
        <w:gridCol w:w="420"/>
        <w:gridCol w:w="5895"/>
      </w:tblGrid>
      <w:tr w:rsidR="008169F8" w:rsidRPr="003230DE" w14:paraId="39922FF1" w14:textId="77777777" w:rsidTr="0005473C">
        <w:trPr>
          <w:trHeight w:val="300"/>
        </w:trPr>
        <w:tc>
          <w:tcPr>
            <w:tcW w:w="9615" w:type="dxa"/>
            <w:gridSpan w:val="4"/>
            <w:tcBorders>
              <w:top w:val="single" w:sz="6" w:space="0" w:color="000000"/>
              <w:left w:val="nil"/>
              <w:bottom w:val="nil"/>
              <w:right w:val="single" w:sz="6" w:space="0" w:color="000000"/>
            </w:tcBorders>
            <w:shd w:val="clear" w:color="auto" w:fill="auto"/>
            <w:hideMark/>
          </w:tcPr>
          <w:p w14:paraId="0D52B90F" w14:textId="77777777" w:rsidR="008169F8" w:rsidRPr="003230DE" w:rsidRDefault="008169F8" w:rsidP="0005473C">
            <w:pPr>
              <w:rPr>
                <w:rFonts w:ascii="Times New Roman" w:hAnsi="Times New Roman"/>
                <w:sz w:val="24"/>
                <w:szCs w:val="24"/>
                <w:lang w:eastAsia="en-GB"/>
              </w:rPr>
            </w:pPr>
            <w:r w:rsidRPr="003230DE">
              <w:rPr>
                <w:rFonts w:cs="Arial"/>
                <w:b/>
                <w:bCs/>
                <w:color w:val="0000FF"/>
                <w:sz w:val="16"/>
                <w:szCs w:val="16"/>
                <w:lang w:eastAsia="en-GB"/>
              </w:rPr>
              <w:t>–</w:t>
            </w:r>
            <w:r w:rsidRPr="003230DE">
              <w:rPr>
                <w:rFonts w:cs="Arial"/>
                <w:color w:val="0000FF"/>
                <w:sz w:val="16"/>
                <w:szCs w:val="16"/>
                <w:lang w:eastAsia="en-GB"/>
              </w:rPr>
              <w:t> </w:t>
            </w:r>
          </w:p>
        </w:tc>
      </w:tr>
      <w:tr w:rsidR="008169F8" w:rsidRPr="003230DE" w14:paraId="0A75B0EE" w14:textId="77777777" w:rsidTr="0005473C">
        <w:tc>
          <w:tcPr>
            <w:tcW w:w="2145" w:type="dxa"/>
            <w:tcBorders>
              <w:top w:val="nil"/>
              <w:left w:val="nil"/>
              <w:bottom w:val="nil"/>
              <w:right w:val="nil"/>
            </w:tcBorders>
            <w:shd w:val="clear" w:color="auto" w:fill="auto"/>
            <w:hideMark/>
          </w:tcPr>
          <w:p w14:paraId="384612E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b/>
                <w:bCs/>
                <w:sz w:val="28"/>
                <w:szCs w:val="28"/>
                <w:lang w:eastAsia="en-GB"/>
              </w:rPr>
              <w:t>Title</w:t>
            </w:r>
            <w:r w:rsidRPr="003230DE">
              <w:rPr>
                <w:rFonts w:ascii="Calibri" w:hAnsi="Calibri" w:cs="Calibri"/>
                <w:b/>
                <w:bCs/>
                <w:color w:val="FF0000"/>
                <w:sz w:val="28"/>
                <w:szCs w:val="28"/>
                <w:lang w:eastAsia="en-GB"/>
              </w:rPr>
              <w:t>*</w:t>
            </w:r>
            <w:r w:rsidRPr="003230DE">
              <w:rPr>
                <w:rFonts w:ascii="Calibri" w:hAnsi="Calibri" w:cs="Calibri"/>
                <w:b/>
                <w:bCs/>
                <w:sz w:val="28"/>
                <w:szCs w:val="28"/>
                <w:lang w:eastAsia="en-GB"/>
              </w:rPr>
              <w:t>:</w:t>
            </w:r>
            <w:r w:rsidRPr="003230DE">
              <w:rPr>
                <w:rFonts w:ascii="Calibri" w:hAnsi="Calibri" w:cs="Calibri"/>
                <w:sz w:val="28"/>
                <w:szCs w:val="28"/>
                <w:lang w:eastAsia="en-GB"/>
              </w:rPr>
              <w:t> </w:t>
            </w:r>
          </w:p>
        </w:tc>
        <w:tc>
          <w:tcPr>
            <w:tcW w:w="7470" w:type="dxa"/>
            <w:gridSpan w:val="3"/>
            <w:tcBorders>
              <w:top w:val="nil"/>
              <w:left w:val="nil"/>
              <w:bottom w:val="nil"/>
              <w:right w:val="single" w:sz="6" w:space="0" w:color="000000"/>
            </w:tcBorders>
            <w:shd w:val="clear" w:color="auto" w:fill="auto"/>
            <w:hideMark/>
          </w:tcPr>
          <w:p w14:paraId="73512141" w14:textId="1302D558" w:rsidR="008169F8" w:rsidRPr="003230DE" w:rsidRDefault="008169F8" w:rsidP="0005473C">
            <w:pPr>
              <w:rPr>
                <w:rFonts w:ascii="Times New Roman" w:hAnsi="Times New Roman"/>
                <w:sz w:val="24"/>
                <w:szCs w:val="24"/>
                <w:lang w:eastAsia="en-GB"/>
              </w:rPr>
            </w:pPr>
            <w:r w:rsidRPr="003230DE">
              <w:rPr>
                <w:rFonts w:cs="Arial"/>
                <w:color w:val="0000FF"/>
                <w:sz w:val="24"/>
                <w:szCs w:val="24"/>
                <w:lang w:eastAsia="en-GB"/>
              </w:rPr>
              <w:t>Call</w:t>
            </w:r>
            <w:r>
              <w:rPr>
                <w:rFonts w:cs="Arial"/>
                <w:color w:val="0000FF"/>
                <w:sz w:val="24"/>
                <w:szCs w:val="24"/>
                <w:lang w:eastAsia="en-GB"/>
              </w:rPr>
              <w:t xml:space="preserve"> </w:t>
            </w:r>
            <w:r w:rsidRPr="003230DE">
              <w:rPr>
                <w:rFonts w:cs="Arial"/>
                <w:color w:val="0000FF"/>
                <w:sz w:val="24"/>
                <w:szCs w:val="24"/>
                <w:lang w:eastAsia="en-GB"/>
              </w:rPr>
              <w:t>for</w:t>
            </w:r>
            <w:r>
              <w:rPr>
                <w:rFonts w:cs="Arial"/>
                <w:color w:val="0000FF"/>
                <w:sz w:val="24"/>
                <w:szCs w:val="24"/>
                <w:lang w:eastAsia="en-GB"/>
              </w:rPr>
              <w:t xml:space="preserve"> </w:t>
            </w:r>
            <w:r w:rsidRPr="003230DE">
              <w:rPr>
                <w:rFonts w:cs="Arial"/>
                <w:color w:val="0000FF"/>
                <w:sz w:val="24"/>
                <w:szCs w:val="24"/>
                <w:lang w:eastAsia="en-GB"/>
              </w:rPr>
              <w:t xml:space="preserve">Candidates for </w:t>
            </w:r>
            <w:r w:rsidR="00EA171A">
              <w:rPr>
                <w:rFonts w:cs="Arial"/>
                <w:color w:val="0000FF"/>
                <w:sz w:val="24"/>
                <w:szCs w:val="24"/>
                <w:lang w:eastAsia="en-GB"/>
              </w:rPr>
              <w:t xml:space="preserve">MTS </w:t>
            </w:r>
            <w:r w:rsidR="00E21826">
              <w:rPr>
                <w:rFonts w:cs="Arial"/>
                <w:color w:val="0000FF"/>
                <w:sz w:val="24"/>
                <w:szCs w:val="24"/>
                <w:lang w:eastAsia="en-GB"/>
              </w:rPr>
              <w:t xml:space="preserve">Vice </w:t>
            </w:r>
            <w:r w:rsidR="00C243F4">
              <w:rPr>
                <w:rFonts w:cs="Arial"/>
                <w:color w:val="0000FF"/>
                <w:sz w:val="24"/>
                <w:szCs w:val="24"/>
                <w:lang w:eastAsia="en-GB"/>
              </w:rPr>
              <w:t>Chair</w:t>
            </w:r>
          </w:p>
        </w:tc>
      </w:tr>
      <w:tr w:rsidR="008169F8" w:rsidRPr="003230DE" w14:paraId="059D38D0" w14:textId="77777777" w:rsidTr="0005473C">
        <w:trPr>
          <w:trHeight w:val="300"/>
        </w:trPr>
        <w:tc>
          <w:tcPr>
            <w:tcW w:w="2145" w:type="dxa"/>
            <w:tcBorders>
              <w:top w:val="nil"/>
              <w:left w:val="nil"/>
              <w:bottom w:val="nil"/>
              <w:right w:val="nil"/>
            </w:tcBorders>
            <w:shd w:val="clear" w:color="auto" w:fill="auto"/>
            <w:vAlign w:val="center"/>
            <w:hideMark/>
          </w:tcPr>
          <w:p w14:paraId="601146BE"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11D3CE47"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45644540" w14:textId="77777777" w:rsidTr="0005473C">
        <w:tc>
          <w:tcPr>
            <w:tcW w:w="2145" w:type="dxa"/>
            <w:tcBorders>
              <w:top w:val="nil"/>
              <w:left w:val="nil"/>
              <w:bottom w:val="nil"/>
              <w:right w:val="nil"/>
            </w:tcBorders>
            <w:shd w:val="clear" w:color="auto" w:fill="auto"/>
            <w:vAlign w:val="center"/>
            <w:hideMark/>
          </w:tcPr>
          <w:p w14:paraId="7B992DD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from </w:t>
            </w:r>
            <w:r w:rsidRPr="003230DE">
              <w:rPr>
                <w:rFonts w:ascii="Calibri" w:hAnsi="Calibri" w:cs="Calibri"/>
                <w:b/>
                <w:bCs/>
                <w:sz w:val="24"/>
                <w:szCs w:val="24"/>
                <w:lang w:eastAsia="en-GB"/>
              </w:rPr>
              <w:t>Source</w:t>
            </w:r>
            <w:r w:rsidRPr="003230DE">
              <w:rPr>
                <w:rFonts w:ascii="Calibri" w:hAnsi="Calibri" w:cs="Calibri"/>
                <w:color w:val="FF0000"/>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3E7FBC36"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ETSI </w:t>
            </w:r>
          </w:p>
        </w:tc>
      </w:tr>
      <w:tr w:rsidR="008169F8" w:rsidRPr="003230DE" w14:paraId="7B956BF8" w14:textId="77777777" w:rsidTr="0005473C">
        <w:tc>
          <w:tcPr>
            <w:tcW w:w="2145" w:type="dxa"/>
            <w:tcBorders>
              <w:top w:val="nil"/>
              <w:left w:val="nil"/>
              <w:bottom w:val="nil"/>
              <w:right w:val="nil"/>
            </w:tcBorders>
            <w:shd w:val="clear" w:color="auto" w:fill="auto"/>
            <w:hideMark/>
          </w:tcPr>
          <w:p w14:paraId="32C175BA"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Contact: </w:t>
            </w:r>
          </w:p>
        </w:tc>
        <w:tc>
          <w:tcPr>
            <w:tcW w:w="7470" w:type="dxa"/>
            <w:gridSpan w:val="3"/>
            <w:tcBorders>
              <w:top w:val="nil"/>
              <w:left w:val="nil"/>
              <w:bottom w:val="nil"/>
              <w:right w:val="single" w:sz="6" w:space="0" w:color="000000"/>
            </w:tcBorders>
            <w:shd w:val="clear" w:color="auto" w:fill="auto"/>
            <w:hideMark/>
          </w:tcPr>
          <w:p w14:paraId="42CE335E" w14:textId="77777777" w:rsidR="008169F8" w:rsidRPr="003230DE" w:rsidRDefault="008169F8" w:rsidP="0005473C">
            <w:pPr>
              <w:rPr>
                <w:rFonts w:ascii="Times New Roman" w:hAnsi="Times New Roman"/>
                <w:lang w:eastAsia="en-GB"/>
              </w:rPr>
            </w:pPr>
            <w:r w:rsidRPr="003230DE">
              <w:rPr>
                <w:rFonts w:ascii="Times New Roman" w:hAnsi="Times New Roman"/>
                <w:lang w:eastAsia="en-GB"/>
              </w:rPr>
              <w:t>Emmanuelle.chaulot-talmon@etsi.org</w:t>
            </w:r>
          </w:p>
        </w:tc>
      </w:tr>
      <w:tr w:rsidR="008169F8" w:rsidRPr="003230DE" w14:paraId="0EC6089C" w14:textId="77777777" w:rsidTr="0005473C">
        <w:tc>
          <w:tcPr>
            <w:tcW w:w="2145" w:type="dxa"/>
            <w:tcBorders>
              <w:top w:val="nil"/>
              <w:left w:val="nil"/>
              <w:bottom w:val="nil"/>
              <w:right w:val="nil"/>
            </w:tcBorders>
            <w:shd w:val="clear" w:color="auto" w:fill="auto"/>
            <w:hideMark/>
          </w:tcPr>
          <w:p w14:paraId="2E5C0C98"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hideMark/>
          </w:tcPr>
          <w:p w14:paraId="1C5BF4AB"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 </w:t>
            </w:r>
          </w:p>
        </w:tc>
      </w:tr>
      <w:tr w:rsidR="008169F8" w:rsidRPr="003230DE" w14:paraId="7540B79D" w14:textId="77777777" w:rsidTr="0005473C">
        <w:tc>
          <w:tcPr>
            <w:tcW w:w="2145" w:type="dxa"/>
            <w:tcBorders>
              <w:top w:val="nil"/>
              <w:left w:val="nil"/>
              <w:bottom w:val="nil"/>
              <w:right w:val="nil"/>
            </w:tcBorders>
            <w:shd w:val="clear" w:color="auto" w:fill="auto"/>
            <w:hideMark/>
          </w:tcPr>
          <w:p w14:paraId="5E44FCE5"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input for</w:t>
            </w:r>
            <w:r w:rsidRPr="003230DE">
              <w:rPr>
                <w:rFonts w:ascii="Calibri" w:hAnsi="Calibri" w:cs="Calibri"/>
                <w:b/>
                <w:bCs/>
                <w:lang w:eastAsia="en-GB"/>
              </w:rPr>
              <w:t> </w:t>
            </w:r>
            <w:r w:rsidRPr="003230DE">
              <w:rPr>
                <w:rFonts w:ascii="Calibri" w:hAnsi="Calibri" w:cs="Calibri"/>
                <w:b/>
                <w:bCs/>
                <w:sz w:val="24"/>
                <w:szCs w:val="24"/>
                <w:lang w:eastAsia="en-GB"/>
              </w:rPr>
              <w:t>Committee</w:t>
            </w:r>
            <w:r w:rsidRPr="003230DE">
              <w:rPr>
                <w:rFonts w:ascii="Calibri" w:hAnsi="Calibri" w:cs="Calibri"/>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hideMark/>
          </w:tcPr>
          <w:p w14:paraId="17A6CE30" w14:textId="7C5D9A68" w:rsidR="008169F8" w:rsidRPr="003230DE" w:rsidRDefault="00C243F4" w:rsidP="0005473C">
            <w:pPr>
              <w:rPr>
                <w:rFonts w:ascii="Times New Roman" w:hAnsi="Times New Roman"/>
                <w:sz w:val="24"/>
                <w:szCs w:val="24"/>
                <w:lang w:eastAsia="en-GB"/>
              </w:rPr>
            </w:pPr>
            <w:r>
              <w:rPr>
                <w:rFonts w:cs="Arial"/>
                <w:sz w:val="24"/>
                <w:szCs w:val="24"/>
                <w:lang w:eastAsia="en-GB"/>
              </w:rPr>
              <w:t>MTS</w:t>
            </w:r>
          </w:p>
        </w:tc>
      </w:tr>
      <w:tr w:rsidR="008169F8" w:rsidRPr="003230DE" w14:paraId="283DA8FE" w14:textId="77777777" w:rsidTr="0005473C">
        <w:tc>
          <w:tcPr>
            <w:tcW w:w="2145" w:type="dxa"/>
            <w:tcBorders>
              <w:top w:val="nil"/>
              <w:left w:val="nil"/>
              <w:bottom w:val="nil"/>
              <w:right w:val="nil"/>
            </w:tcBorders>
            <w:shd w:val="clear" w:color="auto" w:fill="auto"/>
            <w:hideMark/>
          </w:tcPr>
          <w:p w14:paraId="4ED0FA5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4221DD90"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6104A2A9" w14:textId="77777777" w:rsidTr="0005473C">
        <w:trPr>
          <w:trHeight w:val="300"/>
        </w:trPr>
        <w:tc>
          <w:tcPr>
            <w:tcW w:w="2145" w:type="dxa"/>
            <w:tcBorders>
              <w:top w:val="nil"/>
              <w:left w:val="nil"/>
              <w:bottom w:val="nil"/>
              <w:right w:val="single" w:sz="6" w:space="0" w:color="000000"/>
            </w:tcBorders>
            <w:shd w:val="clear" w:color="auto" w:fill="auto"/>
            <w:hideMark/>
          </w:tcPr>
          <w:p w14:paraId="6088DD48"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Contribution</w:t>
            </w:r>
            <w:r w:rsidRPr="003230DE">
              <w:rPr>
                <w:rFonts w:ascii="Calibri" w:hAnsi="Calibri" w:cs="Calibri"/>
                <w:b/>
                <w:bCs/>
                <w:lang w:eastAsia="en-GB"/>
              </w:rPr>
              <w:t> </w:t>
            </w:r>
            <w:r w:rsidRPr="003230DE">
              <w:rPr>
                <w:rFonts w:ascii="Calibri" w:hAnsi="Calibri" w:cs="Calibri"/>
                <w:b/>
                <w:bCs/>
                <w:sz w:val="24"/>
                <w:szCs w:val="24"/>
                <w:lang w:eastAsia="en-GB"/>
              </w:rPr>
              <w:t>For</w:t>
            </w:r>
            <w:r w:rsidRPr="003230DE">
              <w:rPr>
                <w:rFonts w:ascii="Calibri" w:hAnsi="Calibri" w:cs="Calibri"/>
                <w:b/>
                <w:bCs/>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9DF82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Decision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046110A"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0B0885E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1D2178D4" w14:textId="77777777" w:rsidTr="0005473C">
        <w:tc>
          <w:tcPr>
            <w:tcW w:w="2145" w:type="dxa"/>
            <w:tcBorders>
              <w:top w:val="nil"/>
              <w:left w:val="nil"/>
              <w:bottom w:val="nil"/>
              <w:right w:val="single" w:sz="6" w:space="0" w:color="000000"/>
            </w:tcBorders>
            <w:shd w:val="clear" w:color="auto" w:fill="auto"/>
            <w:hideMark/>
          </w:tcPr>
          <w:p w14:paraId="09E127C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DBEE25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Discussion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EFE0B88"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330D37C6"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07F234E" w14:textId="77777777" w:rsidTr="0005473C">
        <w:tc>
          <w:tcPr>
            <w:tcW w:w="2145" w:type="dxa"/>
            <w:tcBorders>
              <w:top w:val="nil"/>
              <w:left w:val="nil"/>
              <w:bottom w:val="nil"/>
              <w:right w:val="single" w:sz="6" w:space="0" w:color="000000"/>
            </w:tcBorders>
            <w:shd w:val="clear" w:color="auto" w:fill="auto"/>
            <w:hideMark/>
          </w:tcPr>
          <w:p w14:paraId="282524F3"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074024"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Information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53471F5" w14:textId="77777777" w:rsidR="008169F8" w:rsidRPr="003230DE" w:rsidRDefault="008169F8" w:rsidP="0005473C">
            <w:pPr>
              <w:jc w:val="center"/>
              <w:rPr>
                <w:rFonts w:ascii="Times New Roman" w:hAnsi="Times New Roman"/>
                <w:sz w:val="24"/>
                <w:szCs w:val="24"/>
                <w:lang w:eastAsia="en-GB"/>
              </w:rPr>
            </w:pPr>
            <w:r w:rsidRPr="003230DE">
              <w:rPr>
                <w:rFonts w:cs="Arial"/>
                <w:b/>
                <w:bCs/>
                <w:lang w:eastAsia="en-GB"/>
              </w:rPr>
              <w:t>X</w:t>
            </w: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1804856B" w14:textId="77777777" w:rsidR="008169F8" w:rsidRPr="003230DE" w:rsidRDefault="008169F8" w:rsidP="0005473C">
            <w:pPr>
              <w:ind w:left="165" w:hanging="165"/>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DC8DD41" w14:textId="77777777" w:rsidTr="0005473C">
        <w:trPr>
          <w:trHeight w:val="300"/>
        </w:trPr>
        <w:tc>
          <w:tcPr>
            <w:tcW w:w="2145" w:type="dxa"/>
            <w:tcBorders>
              <w:top w:val="nil"/>
              <w:left w:val="nil"/>
              <w:bottom w:val="nil"/>
              <w:right w:val="nil"/>
            </w:tcBorders>
            <w:shd w:val="clear" w:color="auto" w:fill="auto"/>
            <w:vAlign w:val="center"/>
            <w:hideMark/>
          </w:tcPr>
          <w:p w14:paraId="287A1B1D"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6F6EEEB7" w14:textId="77777777" w:rsidR="008169F8" w:rsidRPr="003230DE" w:rsidRDefault="008169F8" w:rsidP="0005473C">
            <w:pPr>
              <w:ind w:left="90"/>
              <w:rPr>
                <w:rFonts w:ascii="Times New Roman" w:hAnsi="Times New Roman"/>
                <w:sz w:val="24"/>
                <w:szCs w:val="24"/>
                <w:lang w:eastAsia="en-GB"/>
              </w:rPr>
            </w:pPr>
            <w:r w:rsidRPr="003230DE">
              <w:rPr>
                <w:rFonts w:cs="Arial"/>
                <w:lang w:eastAsia="en-GB"/>
              </w:rPr>
              <w:t> </w:t>
            </w:r>
          </w:p>
        </w:tc>
      </w:tr>
      <w:tr w:rsidR="008169F8" w:rsidRPr="003230DE" w14:paraId="0CBC4928" w14:textId="77777777" w:rsidTr="0005473C">
        <w:tc>
          <w:tcPr>
            <w:tcW w:w="2145" w:type="dxa"/>
            <w:tcBorders>
              <w:top w:val="nil"/>
              <w:left w:val="nil"/>
              <w:bottom w:val="nil"/>
              <w:right w:val="nil"/>
            </w:tcBorders>
            <w:shd w:val="clear" w:color="auto" w:fill="auto"/>
            <w:vAlign w:val="center"/>
            <w:hideMark/>
          </w:tcPr>
          <w:p w14:paraId="6DDCBEBB"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Submission date</w:t>
            </w:r>
            <w:r w:rsidRPr="003230DE">
              <w:rPr>
                <w:rFonts w:ascii="Calibri" w:hAnsi="Calibri" w:cs="Calibri"/>
                <w:b/>
                <w:bCs/>
                <w:color w:val="FF0000"/>
                <w:lang w:eastAsia="en-GB"/>
              </w:rPr>
              <w:t>*</w:t>
            </w: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488E0E02" w14:textId="3FD697D7" w:rsidR="008169F8" w:rsidRPr="003230DE" w:rsidRDefault="008169F8" w:rsidP="0005473C">
            <w:pPr>
              <w:ind w:left="90"/>
              <w:rPr>
                <w:rFonts w:ascii="Times New Roman" w:hAnsi="Times New Roman"/>
                <w:sz w:val="24"/>
                <w:szCs w:val="24"/>
                <w:lang w:eastAsia="en-GB"/>
              </w:rPr>
            </w:pPr>
            <w:r>
              <w:rPr>
                <w:rFonts w:ascii="Times New Roman" w:hAnsi="Times New Roman"/>
                <w:sz w:val="24"/>
                <w:szCs w:val="24"/>
                <w:lang w:eastAsia="en-GB"/>
              </w:rPr>
              <w:t>202</w:t>
            </w:r>
            <w:r w:rsidR="00E21826">
              <w:rPr>
                <w:rFonts w:ascii="Times New Roman" w:hAnsi="Times New Roman"/>
                <w:sz w:val="24"/>
                <w:szCs w:val="24"/>
                <w:lang w:eastAsia="en-GB"/>
              </w:rPr>
              <w:t>3</w:t>
            </w:r>
            <w:r>
              <w:rPr>
                <w:rFonts w:ascii="Times New Roman" w:hAnsi="Times New Roman"/>
                <w:sz w:val="24"/>
                <w:szCs w:val="24"/>
                <w:lang w:eastAsia="en-GB"/>
              </w:rPr>
              <w:t>/</w:t>
            </w:r>
            <w:r w:rsidR="00E21826">
              <w:rPr>
                <w:rFonts w:ascii="Times New Roman" w:hAnsi="Times New Roman"/>
                <w:sz w:val="24"/>
                <w:szCs w:val="24"/>
                <w:lang w:eastAsia="en-GB"/>
              </w:rPr>
              <w:t>05</w:t>
            </w:r>
            <w:r>
              <w:rPr>
                <w:rFonts w:ascii="Times New Roman" w:hAnsi="Times New Roman"/>
                <w:sz w:val="24"/>
                <w:szCs w:val="24"/>
                <w:lang w:eastAsia="en-GB"/>
              </w:rPr>
              <w:t>/</w:t>
            </w:r>
            <w:r w:rsidR="00C243F4">
              <w:rPr>
                <w:rFonts w:ascii="Times New Roman" w:hAnsi="Times New Roman"/>
                <w:sz w:val="24"/>
                <w:szCs w:val="24"/>
                <w:lang w:eastAsia="en-GB"/>
              </w:rPr>
              <w:t>1</w:t>
            </w:r>
            <w:r w:rsidR="007257E1">
              <w:rPr>
                <w:rFonts w:ascii="Times New Roman" w:hAnsi="Times New Roman"/>
                <w:sz w:val="24"/>
                <w:szCs w:val="24"/>
                <w:lang w:eastAsia="en-GB"/>
              </w:rPr>
              <w:t>2</w:t>
            </w:r>
          </w:p>
        </w:tc>
      </w:tr>
      <w:tr w:rsidR="008169F8" w:rsidRPr="003230DE" w14:paraId="06C35480" w14:textId="77777777" w:rsidTr="0005473C">
        <w:trPr>
          <w:trHeight w:val="300"/>
        </w:trPr>
        <w:tc>
          <w:tcPr>
            <w:tcW w:w="2145" w:type="dxa"/>
            <w:tcBorders>
              <w:top w:val="nil"/>
              <w:left w:val="nil"/>
              <w:bottom w:val="nil"/>
              <w:right w:val="nil"/>
            </w:tcBorders>
            <w:shd w:val="clear" w:color="auto" w:fill="auto"/>
            <w:hideMark/>
          </w:tcPr>
          <w:p w14:paraId="2E4F429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31BBA55B" w14:textId="77777777" w:rsidR="008169F8" w:rsidRPr="003230DE" w:rsidRDefault="008169F8" w:rsidP="0005473C">
            <w:pPr>
              <w:ind w:left="45"/>
              <w:rPr>
                <w:rFonts w:ascii="Times New Roman" w:hAnsi="Times New Roman"/>
                <w:sz w:val="24"/>
                <w:szCs w:val="24"/>
                <w:lang w:eastAsia="en-GB"/>
              </w:rPr>
            </w:pPr>
            <w:r w:rsidRPr="003230DE">
              <w:rPr>
                <w:rFonts w:cs="Arial"/>
                <w:sz w:val="16"/>
                <w:szCs w:val="16"/>
                <w:lang w:eastAsia="en-GB"/>
              </w:rPr>
              <w:t> </w:t>
            </w:r>
          </w:p>
        </w:tc>
      </w:tr>
      <w:tr w:rsidR="008169F8" w:rsidRPr="003230DE" w14:paraId="245DDC5B" w14:textId="77777777" w:rsidTr="0005473C">
        <w:tc>
          <w:tcPr>
            <w:tcW w:w="2145" w:type="dxa"/>
            <w:tcBorders>
              <w:top w:val="nil"/>
              <w:left w:val="nil"/>
              <w:bottom w:val="nil"/>
              <w:right w:val="nil"/>
            </w:tcBorders>
            <w:shd w:val="clear" w:color="auto" w:fill="auto"/>
            <w:hideMark/>
          </w:tcPr>
          <w:p w14:paraId="0E8D6E1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Meeting &amp; Allocation: </w:t>
            </w:r>
          </w:p>
        </w:tc>
        <w:tc>
          <w:tcPr>
            <w:tcW w:w="7470" w:type="dxa"/>
            <w:gridSpan w:val="3"/>
            <w:tcBorders>
              <w:top w:val="nil"/>
              <w:left w:val="nil"/>
              <w:bottom w:val="nil"/>
              <w:right w:val="single" w:sz="6" w:space="0" w:color="000000"/>
            </w:tcBorders>
            <w:shd w:val="clear" w:color="auto" w:fill="auto"/>
            <w:hideMark/>
          </w:tcPr>
          <w:p w14:paraId="62C46B86" w14:textId="2CA24705" w:rsidR="008169F8" w:rsidRPr="003230DE" w:rsidRDefault="00C243F4" w:rsidP="0005473C">
            <w:pPr>
              <w:rPr>
                <w:rFonts w:ascii="Times New Roman" w:hAnsi="Times New Roman"/>
                <w:sz w:val="24"/>
                <w:szCs w:val="24"/>
                <w:lang w:eastAsia="en-GB"/>
              </w:rPr>
            </w:pPr>
            <w:r>
              <w:rPr>
                <w:sz w:val="24"/>
                <w:szCs w:val="24"/>
                <w:lang w:eastAsia="en-GB"/>
              </w:rPr>
              <w:t>MTS#8</w:t>
            </w:r>
            <w:r w:rsidR="007257E1">
              <w:rPr>
                <w:sz w:val="24"/>
                <w:szCs w:val="24"/>
                <w:lang w:eastAsia="en-GB"/>
              </w:rPr>
              <w:t>9</w:t>
            </w:r>
          </w:p>
        </w:tc>
      </w:tr>
      <w:tr w:rsidR="008169F8" w:rsidRPr="003230DE" w14:paraId="02372F5A" w14:textId="77777777" w:rsidTr="0005473C">
        <w:tc>
          <w:tcPr>
            <w:tcW w:w="2145" w:type="dxa"/>
            <w:tcBorders>
              <w:top w:val="nil"/>
              <w:left w:val="nil"/>
              <w:bottom w:val="nil"/>
              <w:right w:val="nil"/>
            </w:tcBorders>
            <w:shd w:val="clear" w:color="auto" w:fill="auto"/>
            <w:hideMark/>
          </w:tcPr>
          <w:p w14:paraId="3FDB5F6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Relevant WI(s), or deliverable(s): </w:t>
            </w:r>
          </w:p>
        </w:tc>
        <w:tc>
          <w:tcPr>
            <w:tcW w:w="7470" w:type="dxa"/>
            <w:gridSpan w:val="3"/>
            <w:tcBorders>
              <w:top w:val="nil"/>
              <w:left w:val="nil"/>
              <w:bottom w:val="nil"/>
              <w:right w:val="single" w:sz="6" w:space="0" w:color="000000"/>
            </w:tcBorders>
            <w:shd w:val="clear" w:color="auto" w:fill="auto"/>
            <w:vAlign w:val="center"/>
            <w:hideMark/>
          </w:tcPr>
          <w:p w14:paraId="5DE701A6" w14:textId="77777777" w:rsidR="008169F8" w:rsidRPr="003230DE" w:rsidRDefault="008169F8" w:rsidP="0005473C">
            <w:pPr>
              <w:rPr>
                <w:rFonts w:ascii="Times New Roman" w:hAnsi="Times New Roman"/>
                <w:sz w:val="24"/>
                <w:szCs w:val="24"/>
                <w:lang w:eastAsia="en-GB"/>
              </w:rPr>
            </w:pPr>
            <w:r w:rsidRPr="003230DE">
              <w:rPr>
                <w:rFonts w:cs="Arial"/>
                <w:lang w:eastAsia="en-GB"/>
              </w:rPr>
              <w:t>  </w:t>
            </w:r>
          </w:p>
        </w:tc>
      </w:tr>
      <w:tr w:rsidR="008169F8" w:rsidRPr="003230DE" w14:paraId="5F9EA49C" w14:textId="77777777" w:rsidTr="0005473C">
        <w:trPr>
          <w:trHeight w:val="300"/>
        </w:trPr>
        <w:tc>
          <w:tcPr>
            <w:tcW w:w="9615" w:type="dxa"/>
            <w:gridSpan w:val="4"/>
            <w:tcBorders>
              <w:top w:val="nil"/>
              <w:left w:val="nil"/>
              <w:bottom w:val="single" w:sz="6" w:space="0" w:color="000000"/>
              <w:right w:val="single" w:sz="6" w:space="0" w:color="000000"/>
            </w:tcBorders>
            <w:shd w:val="clear" w:color="auto" w:fill="auto"/>
            <w:hideMark/>
          </w:tcPr>
          <w:p w14:paraId="1A202E58" w14:textId="77777777" w:rsidR="008169F8" w:rsidRPr="003230DE" w:rsidRDefault="008169F8" w:rsidP="0005473C">
            <w:pPr>
              <w:ind w:left="-255" w:firstLine="240"/>
              <w:rPr>
                <w:rFonts w:ascii="Times New Roman" w:hAnsi="Times New Roman"/>
                <w:sz w:val="24"/>
                <w:szCs w:val="24"/>
                <w:lang w:eastAsia="en-GB"/>
              </w:rPr>
            </w:pPr>
            <w:r w:rsidRPr="003230DE">
              <w:rPr>
                <w:rFonts w:ascii="Times New Roman" w:hAnsi="Times New Roman"/>
                <w:sz w:val="16"/>
                <w:szCs w:val="16"/>
                <w:lang w:eastAsia="en-GB"/>
              </w:rPr>
              <w:t> </w:t>
            </w:r>
          </w:p>
        </w:tc>
      </w:tr>
    </w:tbl>
    <w:p w14:paraId="641DDFD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67EDFAFF" w14:textId="34AC716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Dear Sir or Madam, </w:t>
      </w:r>
    </w:p>
    <w:p w14:paraId="2FC2F2E3" w14:textId="2DD23DDA" w:rsidR="008169F8" w:rsidRPr="003230DE" w:rsidRDefault="008169F8" w:rsidP="008169F8">
      <w:pPr>
        <w:rPr>
          <w:rFonts w:ascii="Segoe UI" w:hAnsi="Segoe UI" w:cs="Segoe UI"/>
          <w:sz w:val="18"/>
          <w:szCs w:val="18"/>
          <w:lang w:eastAsia="en-GB"/>
        </w:rPr>
      </w:pPr>
    </w:p>
    <w:p w14:paraId="684F06B7" w14:textId="150BBF71"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purpose of the present call is to invite ETSI Members to submit applications for the</w:t>
      </w:r>
      <w:r>
        <w:rPr>
          <w:rFonts w:ascii="Times New Roman" w:hAnsi="Times New Roman"/>
          <w:b/>
          <w:bCs/>
          <w:sz w:val="24"/>
          <w:szCs w:val="24"/>
          <w:lang w:eastAsia="en-GB"/>
        </w:rPr>
        <w:t xml:space="preserve"> </w:t>
      </w:r>
      <w:r w:rsidR="003137B8">
        <w:rPr>
          <w:rFonts w:ascii="Times New Roman" w:hAnsi="Times New Roman"/>
          <w:sz w:val="24"/>
          <w:szCs w:val="24"/>
          <w:lang w:eastAsia="en-GB"/>
        </w:rPr>
        <w:t xml:space="preserve">MTS </w:t>
      </w:r>
      <w:r w:rsidR="007257E1">
        <w:rPr>
          <w:rFonts w:ascii="Times New Roman" w:hAnsi="Times New Roman"/>
          <w:sz w:val="24"/>
          <w:szCs w:val="24"/>
          <w:lang w:eastAsia="en-GB"/>
        </w:rPr>
        <w:t>vice</w:t>
      </w:r>
      <w:r w:rsidR="003137B8">
        <w:rPr>
          <w:rFonts w:ascii="Times New Roman" w:hAnsi="Times New Roman"/>
          <w:sz w:val="24"/>
          <w:szCs w:val="24"/>
          <w:lang w:eastAsia="en-GB"/>
        </w:rPr>
        <w:t xml:space="preserve"> </w:t>
      </w:r>
      <w:r w:rsidR="003137B8" w:rsidRPr="003230DE">
        <w:rPr>
          <w:rFonts w:ascii="Times New Roman" w:hAnsi="Times New Roman"/>
          <w:sz w:val="24"/>
          <w:szCs w:val="24"/>
          <w:lang w:eastAsia="en-GB"/>
        </w:rPr>
        <w:t>Chair</w:t>
      </w:r>
      <w:r w:rsidRPr="003230DE">
        <w:rPr>
          <w:rFonts w:ascii="Times New Roman" w:hAnsi="Times New Roman"/>
          <w:sz w:val="24"/>
          <w:szCs w:val="24"/>
          <w:lang w:eastAsia="en-GB"/>
        </w:rPr>
        <w:t> </w:t>
      </w:r>
      <w:r w:rsidR="003137B8">
        <w:rPr>
          <w:rFonts w:ascii="Times New Roman" w:hAnsi="Times New Roman"/>
          <w:sz w:val="24"/>
          <w:szCs w:val="24"/>
          <w:lang w:eastAsia="en-GB"/>
        </w:rPr>
        <w:t>position.</w:t>
      </w:r>
    </w:p>
    <w:p w14:paraId="3AC19464" w14:textId="709DE4F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Chair’s responsibilities are described in the ETSI Directives, Technical Working Procedures (TWP) clause 1.3.3 (see Annex B). </w:t>
      </w:r>
    </w:p>
    <w:p w14:paraId="2F66881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0B8074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Who can apply? Any representative of an ETSI Full Member or Associate member (TWP clause 1.4) (see Annex B). </w:t>
      </w:r>
    </w:p>
    <w:p w14:paraId="5A00A7F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66395592" w14:textId="2B1C96A0"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How to apply? Candidates shall complete the application form in Annex A of the present document and send their candidacy to</w:t>
      </w:r>
      <w:r>
        <w:rPr>
          <w:rFonts w:ascii="Times New Roman" w:hAnsi="Times New Roman"/>
          <w:sz w:val="24"/>
          <w:szCs w:val="24"/>
          <w:lang w:eastAsia="en-GB"/>
        </w:rPr>
        <w:t xml:space="preserve"> </w:t>
      </w:r>
      <w:hyperlink r:id="rId11" w:history="1">
        <w:r w:rsidRPr="0040728F">
          <w:rPr>
            <w:rStyle w:val="Hyperlink"/>
            <w:rFonts w:ascii="Times New Roman" w:hAnsi="Times New Roman"/>
            <w:sz w:val="24"/>
            <w:szCs w:val="24"/>
            <w:lang w:eastAsia="en-GB"/>
          </w:rPr>
          <w:t>emmanuelle.chaulot-talmon@etsi.org</w:t>
        </w:r>
      </w:hyperlink>
      <w:r>
        <w:rPr>
          <w:rFonts w:ascii="Times New Roman" w:hAnsi="Times New Roman"/>
          <w:sz w:val="24"/>
          <w:szCs w:val="24"/>
          <w:lang w:eastAsia="en-GB"/>
        </w:rPr>
        <w:t xml:space="preserve"> </w:t>
      </w:r>
      <w:r w:rsidRPr="003230DE">
        <w:rPr>
          <w:rFonts w:ascii="Times New Roman" w:hAnsi="Times New Roman"/>
          <w:sz w:val="24"/>
          <w:szCs w:val="24"/>
          <w:lang w:eastAsia="en-GB"/>
        </w:rPr>
        <w:t>no later than </w:t>
      </w:r>
      <w:r w:rsidR="00A514CE">
        <w:rPr>
          <w:rFonts w:ascii="Times New Roman" w:hAnsi="Times New Roman"/>
          <w:sz w:val="24"/>
          <w:szCs w:val="24"/>
          <w:lang w:eastAsia="en-GB"/>
        </w:rPr>
        <w:t>1</w:t>
      </w:r>
      <w:r w:rsidR="007257E1">
        <w:rPr>
          <w:rFonts w:ascii="Times New Roman" w:hAnsi="Times New Roman"/>
          <w:sz w:val="24"/>
          <w:szCs w:val="24"/>
          <w:lang w:eastAsia="en-GB"/>
        </w:rPr>
        <w:t>2</w:t>
      </w:r>
      <w:r>
        <w:rPr>
          <w:rFonts w:ascii="Times New Roman" w:hAnsi="Times New Roman"/>
          <w:sz w:val="24"/>
          <w:szCs w:val="24"/>
          <w:lang w:eastAsia="en-GB"/>
        </w:rPr>
        <w:t>/</w:t>
      </w:r>
      <w:r w:rsidR="007257E1">
        <w:rPr>
          <w:rFonts w:ascii="Times New Roman" w:hAnsi="Times New Roman"/>
          <w:sz w:val="24"/>
          <w:szCs w:val="24"/>
          <w:lang w:eastAsia="en-GB"/>
        </w:rPr>
        <w:t>06</w:t>
      </w:r>
      <w:r>
        <w:rPr>
          <w:rFonts w:ascii="Times New Roman" w:hAnsi="Times New Roman"/>
          <w:sz w:val="24"/>
          <w:szCs w:val="24"/>
          <w:lang w:eastAsia="en-GB"/>
        </w:rPr>
        <w:t>/202</w:t>
      </w:r>
      <w:r w:rsidR="007257E1">
        <w:rPr>
          <w:rFonts w:ascii="Times New Roman" w:hAnsi="Times New Roman"/>
          <w:sz w:val="24"/>
          <w:szCs w:val="24"/>
          <w:lang w:eastAsia="en-GB"/>
        </w:rPr>
        <w:t>3</w:t>
      </w:r>
      <w:r w:rsidRPr="003230DE">
        <w:rPr>
          <w:rFonts w:ascii="Times New Roman" w:hAnsi="Times New Roman"/>
          <w:sz w:val="24"/>
          <w:szCs w:val="24"/>
          <w:lang w:eastAsia="en-GB"/>
        </w:rPr>
        <w:t>. </w:t>
      </w:r>
    </w:p>
    <w:p w14:paraId="4094B8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2485465D" w14:textId="699E9FB6"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Please note that candidatures will be made available to the</w:t>
      </w:r>
      <w:r>
        <w:rPr>
          <w:rFonts w:ascii="Times New Roman" w:hAnsi="Times New Roman"/>
          <w:sz w:val="24"/>
          <w:szCs w:val="24"/>
          <w:lang w:eastAsia="en-GB"/>
        </w:rPr>
        <w:t xml:space="preserve"> </w:t>
      </w:r>
      <w:r w:rsidR="00A514CE">
        <w:rPr>
          <w:rFonts w:ascii="Times New Roman" w:hAnsi="Times New Roman"/>
          <w:sz w:val="24"/>
          <w:szCs w:val="24"/>
          <w:lang w:eastAsia="en-GB"/>
        </w:rPr>
        <w:t>MTS</w:t>
      </w:r>
      <w:r>
        <w:rPr>
          <w:rFonts w:ascii="Times New Roman" w:hAnsi="Times New Roman"/>
          <w:sz w:val="24"/>
          <w:szCs w:val="24"/>
          <w:lang w:eastAsia="en-GB"/>
        </w:rPr>
        <w:t xml:space="preserve"> member list. If more candidatures than position are received, election will take place by correspondence.</w:t>
      </w:r>
    </w:p>
    <w:p w14:paraId="27E9213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35AC4D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Should you require further information concerning the election process, please do not hesitate to contact</w:t>
      </w:r>
      <w:r>
        <w:rPr>
          <w:rFonts w:ascii="Times New Roman" w:hAnsi="Times New Roman"/>
          <w:sz w:val="24"/>
          <w:szCs w:val="24"/>
          <w:lang w:eastAsia="en-GB"/>
        </w:rPr>
        <w:t xml:space="preserve"> emmanuelle.chaulot-talmon@etsi.org</w:t>
      </w:r>
      <w:r w:rsidRPr="003230DE">
        <w:rPr>
          <w:rFonts w:ascii="Times New Roman" w:hAnsi="Times New Roman"/>
          <w:sz w:val="24"/>
          <w:szCs w:val="24"/>
          <w:lang w:eastAsia="en-GB"/>
        </w:rPr>
        <w:t>. </w:t>
      </w:r>
    </w:p>
    <w:p w14:paraId="2E24AC31" w14:textId="77777777" w:rsidR="008169F8" w:rsidRPr="003230DE" w:rsidRDefault="008169F8" w:rsidP="008169F8">
      <w:pPr>
        <w:ind w:firstLine="4170"/>
        <w:rPr>
          <w:rFonts w:ascii="Segoe UI" w:hAnsi="Segoe UI" w:cs="Segoe UI"/>
          <w:sz w:val="18"/>
          <w:szCs w:val="18"/>
          <w:lang w:eastAsia="en-GB"/>
        </w:rPr>
      </w:pPr>
      <w:r w:rsidRPr="003230DE">
        <w:rPr>
          <w:rFonts w:ascii="Times New Roman" w:hAnsi="Times New Roman"/>
          <w:sz w:val="24"/>
          <w:szCs w:val="24"/>
          <w:lang w:eastAsia="en-GB"/>
        </w:rPr>
        <w:t> </w:t>
      </w:r>
    </w:p>
    <w:p w14:paraId="4FEEA519" w14:textId="77777777" w:rsidR="008169F8" w:rsidRDefault="008169F8" w:rsidP="008169F8">
      <w:pPr>
        <w:rPr>
          <w:rFonts w:ascii="Times New Roman" w:hAnsi="Times New Roman"/>
          <w:color w:val="000000"/>
          <w:sz w:val="24"/>
          <w:szCs w:val="24"/>
          <w:lang w:eastAsia="en-GB"/>
        </w:rPr>
      </w:pPr>
      <w:r w:rsidRPr="003230DE">
        <w:rPr>
          <w:rFonts w:ascii="Times New Roman" w:hAnsi="Times New Roman"/>
          <w:color w:val="000000"/>
          <w:sz w:val="24"/>
          <w:szCs w:val="24"/>
          <w:lang w:eastAsia="en-GB"/>
        </w:rPr>
        <w:t> </w:t>
      </w:r>
    </w:p>
    <w:p w14:paraId="11408CFF" w14:textId="77777777" w:rsidR="008169F8" w:rsidRDefault="008169F8" w:rsidP="008169F8">
      <w:pPr>
        <w:rPr>
          <w:rFonts w:ascii="Times New Roman" w:hAnsi="Times New Roman"/>
          <w:color w:val="000000"/>
          <w:sz w:val="24"/>
          <w:szCs w:val="24"/>
          <w:lang w:eastAsia="en-GB"/>
        </w:rPr>
      </w:pPr>
      <w:r>
        <w:rPr>
          <w:rFonts w:ascii="Times New Roman" w:hAnsi="Times New Roman"/>
          <w:color w:val="000000"/>
          <w:sz w:val="24"/>
          <w:szCs w:val="24"/>
          <w:lang w:eastAsia="en-GB"/>
        </w:rPr>
        <w:br w:type="page"/>
      </w:r>
    </w:p>
    <w:p w14:paraId="746DCF1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lastRenderedPageBreak/>
        <w:t> </w:t>
      </w:r>
    </w:p>
    <w:p w14:paraId="33AF08B0" w14:textId="5A768AD4"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 xml:space="preserve">Annex A: </w:t>
      </w:r>
      <w:r w:rsidR="00A514CE">
        <w:rPr>
          <w:rFonts w:cs="Arial"/>
          <w:b/>
          <w:bCs/>
          <w:sz w:val="36"/>
          <w:szCs w:val="36"/>
          <w:lang w:val="en-US" w:eastAsia="en-GB"/>
        </w:rPr>
        <w:t>Chair</w:t>
      </w:r>
      <w:r w:rsidRPr="003230DE">
        <w:rPr>
          <w:rFonts w:cs="Arial"/>
          <w:b/>
          <w:bCs/>
          <w:sz w:val="36"/>
          <w:szCs w:val="36"/>
          <w:lang w:val="en-US" w:eastAsia="en-GB"/>
        </w:rPr>
        <w:t> Application Form</w:t>
      </w:r>
      <w:r w:rsidRPr="003230DE">
        <w:rPr>
          <w:rFonts w:cs="Arial"/>
          <w:sz w:val="36"/>
          <w:szCs w:val="36"/>
          <w:lang w:eastAsia="en-GB"/>
        </w:rPr>
        <w:t> </w:t>
      </w:r>
    </w:p>
    <w:p w14:paraId="5CED25AC" w14:textId="58D2C350" w:rsidR="008169F8" w:rsidRPr="00A514CE" w:rsidRDefault="008169F8" w:rsidP="008169F8">
      <w:pPr>
        <w:ind w:left="1125" w:hanging="1125"/>
        <w:rPr>
          <w:rFonts w:ascii="Segoe UI" w:hAnsi="Segoe UI" w:cs="Segoe UI"/>
          <w:sz w:val="32"/>
          <w:szCs w:val="32"/>
          <w:lang w:eastAsia="en-GB"/>
        </w:rPr>
      </w:pPr>
      <w:r w:rsidRPr="00A514CE">
        <w:rPr>
          <w:rFonts w:cs="Arial"/>
          <w:sz w:val="32"/>
          <w:szCs w:val="32"/>
          <w:lang w:eastAsia="en-GB"/>
        </w:rPr>
        <w:t xml:space="preserve">Candidature for the </w:t>
      </w:r>
      <w:r w:rsidR="007257E1">
        <w:rPr>
          <w:rFonts w:cs="Arial"/>
          <w:sz w:val="32"/>
          <w:szCs w:val="32"/>
          <w:lang w:eastAsia="en-GB"/>
        </w:rPr>
        <w:t xml:space="preserve">Vice </w:t>
      </w:r>
      <w:r w:rsidRPr="00A514CE">
        <w:rPr>
          <w:rFonts w:cs="Arial"/>
          <w:sz w:val="32"/>
          <w:szCs w:val="32"/>
          <w:lang w:eastAsia="en-GB"/>
        </w:rPr>
        <w:t xml:space="preserve">Chairmanship of </w:t>
      </w:r>
      <w:r w:rsidR="00A514CE" w:rsidRPr="00A514CE">
        <w:rPr>
          <w:rFonts w:cs="Arial"/>
          <w:sz w:val="32"/>
          <w:szCs w:val="32"/>
          <w:lang w:eastAsia="en-GB"/>
        </w:rPr>
        <w:t xml:space="preserve">MTS </w:t>
      </w:r>
    </w:p>
    <w:p w14:paraId="10CB1A3E" w14:textId="6E06CADE" w:rsidR="008169F8" w:rsidRPr="003230DE" w:rsidRDefault="008169F8" w:rsidP="008169F8">
      <w:pPr>
        <w:rPr>
          <w:rFonts w:ascii="Segoe UI" w:hAnsi="Segoe UI" w:cs="Segoe UI"/>
          <w:sz w:val="18"/>
          <w:szCs w:val="18"/>
          <w:lang w:eastAsia="en-GB"/>
        </w:rPr>
      </w:pPr>
      <w:r w:rsidRPr="003230DE">
        <w:rPr>
          <w:rFonts w:cs="Arial"/>
          <w:lang w:eastAsia="en-GB"/>
        </w:rPr>
        <w:t>To submit your candidature, please fill in the form below and send it to</w:t>
      </w:r>
      <w:r>
        <w:rPr>
          <w:rFonts w:cs="Arial"/>
          <w:b/>
          <w:bCs/>
          <w:color w:val="0000FF"/>
          <w:lang w:eastAsia="en-GB"/>
        </w:rPr>
        <w:t xml:space="preserve"> </w:t>
      </w:r>
      <w:r>
        <w:rPr>
          <w:rFonts w:cs="Arial"/>
          <w:lang w:eastAsia="en-GB"/>
        </w:rPr>
        <w:t>emmanuelle.chaulot-talmon</w:t>
      </w:r>
      <w:r w:rsidRPr="003230DE">
        <w:rPr>
          <w:rFonts w:cs="Arial"/>
          <w:lang w:eastAsia="en-GB"/>
        </w:rPr>
        <w:t>@etsi.org </w:t>
      </w:r>
    </w:p>
    <w:p w14:paraId="5ABA7F6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4110"/>
      </w:tblGrid>
      <w:tr w:rsidR="008169F8" w:rsidRPr="003230DE" w14:paraId="101FC8AF" w14:textId="77777777" w:rsidTr="0005473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FB7A70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38FB25B" w14:textId="310779AE"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Family Name:</w:t>
            </w:r>
            <w:r w:rsidRPr="003230DE">
              <w:rPr>
                <w:rFonts w:ascii="Times New Roman" w:hAnsi="Times New Roman"/>
                <w:lang w:eastAsia="en-GB"/>
              </w:rPr>
              <w:t> </w:t>
            </w:r>
            <w:r w:rsidR="002F3FAB">
              <w:rPr>
                <w:rFonts w:ascii="Times New Roman" w:hAnsi="Times New Roman"/>
                <w:lang w:eastAsia="en-GB"/>
              </w:rPr>
              <w:t>Holoyad</w:t>
            </w:r>
          </w:p>
          <w:p w14:paraId="3AB9F5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4110" w:type="dxa"/>
            <w:vMerge w:val="restart"/>
            <w:tcBorders>
              <w:top w:val="single" w:sz="6" w:space="0" w:color="auto"/>
              <w:left w:val="nil"/>
              <w:bottom w:val="single" w:sz="6" w:space="0" w:color="auto"/>
              <w:right w:val="single" w:sz="6" w:space="0" w:color="auto"/>
            </w:tcBorders>
            <w:shd w:val="clear" w:color="auto" w:fill="auto"/>
            <w:hideMark/>
          </w:tcPr>
          <w:p w14:paraId="4274A662" w14:textId="5C72E121" w:rsidR="008169F8" w:rsidRPr="003230DE" w:rsidRDefault="00BB11AC" w:rsidP="00992154">
            <w:pPr>
              <w:jc w:val="center"/>
              <w:rPr>
                <w:rFonts w:ascii="Times New Roman" w:hAnsi="Times New Roman"/>
                <w:sz w:val="24"/>
                <w:szCs w:val="24"/>
                <w:lang w:eastAsia="en-GB"/>
              </w:rPr>
            </w:pPr>
            <w:r>
              <w:rPr>
                <w:rFonts w:ascii="Times New Roman" w:hAnsi="Times New Roman"/>
                <w:noProof/>
                <w:color w:val="0000FF"/>
                <w:lang w:val="de-DE" w:eastAsia="de-DE"/>
              </w:rPr>
              <w:drawing>
                <wp:inline distT="0" distB="0" distL="0" distR="0" wp14:anchorId="0759A8B7" wp14:editId="2664A2E4">
                  <wp:extent cx="2371725" cy="3126788"/>
                  <wp:effectExtent l="0" t="0" r="0" b="0"/>
                  <wp:docPr id="5" name="Grafik 5" descr="C:\Users\422c\Documents\KI\Mitarbeit in Gremien\DIN\Grundlagen\Buch\Version 2\Taras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22c\Documents\KI\Mitarbeit in Gremien\DIN\Grundlagen\Buch\Version 2\Taras Fot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64" cy="3142923"/>
                          </a:xfrm>
                          <a:prstGeom prst="rect">
                            <a:avLst/>
                          </a:prstGeom>
                          <a:noFill/>
                          <a:ln>
                            <a:noFill/>
                          </a:ln>
                        </pic:spPr>
                      </pic:pic>
                    </a:graphicData>
                  </a:graphic>
                </wp:inline>
              </w:drawing>
            </w:r>
          </w:p>
        </w:tc>
      </w:tr>
      <w:tr w:rsidR="008169F8" w:rsidRPr="003230DE" w14:paraId="1629E80D"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2E62953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702A523" w14:textId="3BB796F3"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First Name:</w:t>
            </w:r>
            <w:r w:rsidRPr="003230DE">
              <w:rPr>
                <w:rFonts w:ascii="Times New Roman" w:hAnsi="Times New Roman"/>
                <w:lang w:eastAsia="en-GB"/>
              </w:rPr>
              <w:t> </w:t>
            </w:r>
            <w:r w:rsidR="002F3FAB">
              <w:rPr>
                <w:rFonts w:ascii="Times New Roman" w:hAnsi="Times New Roman"/>
                <w:lang w:eastAsia="en-GB"/>
              </w:rPr>
              <w:t>Taras</w:t>
            </w:r>
          </w:p>
          <w:p w14:paraId="5B8600D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EDBED43" w14:textId="77777777" w:rsidR="008169F8" w:rsidRPr="003230DE" w:rsidRDefault="008169F8" w:rsidP="0005473C">
            <w:pPr>
              <w:rPr>
                <w:rFonts w:ascii="Times New Roman" w:hAnsi="Times New Roman"/>
                <w:sz w:val="24"/>
                <w:szCs w:val="24"/>
                <w:lang w:eastAsia="en-GB"/>
              </w:rPr>
            </w:pPr>
          </w:p>
        </w:tc>
      </w:tr>
      <w:tr w:rsidR="008169F8" w:rsidRPr="003230DE" w14:paraId="3AC76CFA"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60B803DA"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2946068" w14:textId="74F60758" w:rsidR="002F3FAB" w:rsidRPr="002F3FAB" w:rsidRDefault="008169F8" w:rsidP="002F3FAB">
            <w:pPr>
              <w:jc w:val="left"/>
              <w:rPr>
                <w:rFonts w:ascii="Times New Roman" w:hAnsi="Times New Roman"/>
                <w:lang w:eastAsia="en-GB"/>
              </w:rPr>
            </w:pPr>
            <w:r w:rsidRPr="003230DE">
              <w:rPr>
                <w:rFonts w:ascii="Times New Roman" w:hAnsi="Times New Roman"/>
                <w:b/>
                <w:bCs/>
                <w:lang w:eastAsia="en-GB"/>
              </w:rPr>
              <w:t>Organization name:</w:t>
            </w:r>
            <w:r w:rsidRPr="003230DE">
              <w:rPr>
                <w:rFonts w:ascii="Times New Roman" w:hAnsi="Times New Roman"/>
                <w:lang w:eastAsia="en-GB"/>
              </w:rPr>
              <w:t> </w:t>
            </w:r>
          </w:p>
          <w:p w14:paraId="0E78A6D4" w14:textId="34236E68" w:rsidR="008169F8" w:rsidRPr="002F3FAB" w:rsidRDefault="002F3FAB" w:rsidP="002F3FAB">
            <w:pPr>
              <w:pStyle w:val="ListParagraph"/>
              <w:numPr>
                <w:ilvl w:val="0"/>
                <w:numId w:val="27"/>
              </w:numPr>
              <w:jc w:val="left"/>
              <w:rPr>
                <w:rFonts w:ascii="Times New Roman" w:hAnsi="Times New Roman"/>
                <w:sz w:val="24"/>
                <w:szCs w:val="24"/>
                <w:lang w:eastAsia="en-GB"/>
              </w:rPr>
            </w:pPr>
            <w:r>
              <w:rPr>
                <w:rFonts w:ascii="Times New Roman" w:hAnsi="Times New Roman"/>
                <w:lang w:eastAsia="en-GB"/>
              </w:rPr>
              <w:t>Federal Network Agency (</w:t>
            </w:r>
            <w:r w:rsidRPr="002F3FAB">
              <w:rPr>
                <w:rFonts w:ascii="Times New Roman" w:hAnsi="Times New Roman"/>
                <w:lang w:eastAsia="en-GB"/>
              </w:rPr>
              <w:t>Bundesnetzagentur</w:t>
            </w:r>
            <w:r>
              <w:rPr>
                <w:rFonts w:ascii="Times New Roman" w:hAnsi="Times New Roman"/>
                <w:lang w:eastAsia="en-GB"/>
              </w:rPr>
              <w:t>)</w:t>
            </w:r>
          </w:p>
          <w:p w14:paraId="45A4C45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D0C4532" w14:textId="77777777" w:rsidR="008169F8" w:rsidRPr="003230DE" w:rsidRDefault="008169F8" w:rsidP="0005473C">
            <w:pPr>
              <w:rPr>
                <w:rFonts w:ascii="Times New Roman" w:hAnsi="Times New Roman"/>
                <w:sz w:val="24"/>
                <w:szCs w:val="24"/>
                <w:lang w:eastAsia="en-GB"/>
              </w:rPr>
            </w:pPr>
          </w:p>
        </w:tc>
      </w:tr>
      <w:tr w:rsidR="008169F8" w:rsidRPr="003230DE" w14:paraId="55EEC0F9"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0FAC762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3EA7DD" w14:textId="75299DAA"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Country:</w:t>
            </w:r>
            <w:r w:rsidRPr="003230DE">
              <w:rPr>
                <w:rFonts w:ascii="Times New Roman" w:hAnsi="Times New Roman"/>
                <w:lang w:eastAsia="en-GB"/>
              </w:rPr>
              <w:t> </w:t>
            </w:r>
            <w:r w:rsidR="002F3FAB">
              <w:rPr>
                <w:rFonts w:ascii="Times New Roman" w:hAnsi="Times New Roman"/>
                <w:lang w:eastAsia="en-GB"/>
              </w:rPr>
              <w:t>Germany</w:t>
            </w:r>
          </w:p>
          <w:p w14:paraId="0CBAAB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04D0612" w14:textId="77777777" w:rsidR="008169F8" w:rsidRPr="003230DE" w:rsidRDefault="008169F8" w:rsidP="0005473C">
            <w:pPr>
              <w:rPr>
                <w:rFonts w:ascii="Times New Roman" w:hAnsi="Times New Roman"/>
                <w:sz w:val="24"/>
                <w:szCs w:val="24"/>
                <w:lang w:eastAsia="en-GB"/>
              </w:rPr>
            </w:pPr>
          </w:p>
        </w:tc>
      </w:tr>
      <w:tr w:rsidR="008169F8" w:rsidRPr="00F51F64" w14:paraId="74F393F0"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436DE19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974C648" w14:textId="78BB57D2" w:rsidR="008169F8" w:rsidRPr="00F51F64" w:rsidRDefault="008169F8" w:rsidP="0005473C">
            <w:pPr>
              <w:rPr>
                <w:rFonts w:ascii="Times New Roman" w:hAnsi="Times New Roman"/>
                <w:sz w:val="24"/>
                <w:szCs w:val="24"/>
                <w:lang w:val="fr-FR" w:eastAsia="en-GB"/>
              </w:rPr>
            </w:pPr>
            <w:r w:rsidRPr="00F51F64">
              <w:rPr>
                <w:rFonts w:ascii="Times New Roman" w:hAnsi="Times New Roman"/>
                <w:b/>
                <w:bCs/>
                <w:lang w:val="fr-FR" w:eastAsia="en-GB"/>
              </w:rPr>
              <w:t>E-mail address:</w:t>
            </w:r>
            <w:r w:rsidRPr="00F51F64">
              <w:rPr>
                <w:rFonts w:ascii="Times New Roman" w:hAnsi="Times New Roman"/>
                <w:lang w:val="fr-FR" w:eastAsia="en-GB"/>
              </w:rPr>
              <w:t> </w:t>
            </w:r>
            <w:r w:rsidR="002F3FAB" w:rsidRPr="00F51F64">
              <w:rPr>
                <w:rFonts w:ascii="Times New Roman" w:hAnsi="Times New Roman"/>
                <w:lang w:val="fr-FR" w:eastAsia="en-GB"/>
              </w:rPr>
              <w:t>taras.holoyad@bnetza.de</w:t>
            </w:r>
          </w:p>
          <w:p w14:paraId="3FE7A33B" w14:textId="77777777" w:rsidR="008169F8" w:rsidRPr="00F51F64" w:rsidRDefault="008169F8" w:rsidP="0005473C">
            <w:pPr>
              <w:rPr>
                <w:rFonts w:ascii="Times New Roman" w:hAnsi="Times New Roman"/>
                <w:sz w:val="24"/>
                <w:szCs w:val="24"/>
                <w:lang w:val="fr-FR" w:eastAsia="en-GB"/>
              </w:rPr>
            </w:pPr>
            <w:r w:rsidRPr="00F51F64">
              <w:rPr>
                <w:rFonts w:ascii="Times New Roman" w:hAnsi="Times New Roman"/>
                <w:lang w:val="fr-FR"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6DD791" w14:textId="77777777" w:rsidR="008169F8" w:rsidRPr="00F51F64" w:rsidRDefault="008169F8" w:rsidP="0005473C">
            <w:pPr>
              <w:rPr>
                <w:rFonts w:ascii="Times New Roman" w:hAnsi="Times New Roman"/>
                <w:sz w:val="24"/>
                <w:szCs w:val="24"/>
                <w:lang w:val="fr-FR" w:eastAsia="en-GB"/>
              </w:rPr>
            </w:pPr>
          </w:p>
        </w:tc>
      </w:tr>
      <w:tr w:rsidR="008169F8" w:rsidRPr="003230DE" w14:paraId="5B2AD50B"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3F7F5C38" w14:textId="77777777" w:rsidR="008169F8" w:rsidRPr="00F51F64" w:rsidRDefault="008169F8" w:rsidP="0005473C">
            <w:pPr>
              <w:rPr>
                <w:rFonts w:ascii="Times New Roman" w:hAnsi="Times New Roman"/>
                <w:sz w:val="24"/>
                <w:szCs w:val="24"/>
                <w:lang w:val="fr-FR" w:eastAsia="en-GB"/>
              </w:rPr>
            </w:pPr>
            <w:r w:rsidRPr="00F51F64">
              <w:rPr>
                <w:rFonts w:ascii="Times New Roman" w:hAnsi="Times New Roman"/>
                <w:lang w:val="fr-FR" w:eastAsia="en-GB"/>
              </w:rPr>
              <w:t> </w:t>
            </w:r>
          </w:p>
          <w:p w14:paraId="140197E7" w14:textId="1D0C0753"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Tel (optional):</w:t>
            </w:r>
            <w:r w:rsidRPr="003230DE">
              <w:rPr>
                <w:rFonts w:ascii="Times New Roman" w:hAnsi="Times New Roman"/>
                <w:lang w:eastAsia="en-GB"/>
              </w:rPr>
              <w:t> </w:t>
            </w:r>
            <w:r w:rsidR="002F3FAB">
              <w:rPr>
                <w:rFonts w:ascii="Times New Roman" w:hAnsi="Times New Roman"/>
                <w:lang w:eastAsia="en-GB"/>
              </w:rPr>
              <w:t>+4917681669541</w:t>
            </w:r>
          </w:p>
          <w:p w14:paraId="1C2D3E4E"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EBBF175" w14:textId="77777777" w:rsidR="008169F8" w:rsidRPr="003230DE" w:rsidRDefault="008169F8" w:rsidP="0005473C">
            <w:pPr>
              <w:rPr>
                <w:rFonts w:ascii="Times New Roman" w:hAnsi="Times New Roman"/>
                <w:sz w:val="24"/>
                <w:szCs w:val="24"/>
                <w:lang w:eastAsia="en-GB"/>
              </w:rPr>
            </w:pPr>
          </w:p>
        </w:tc>
      </w:tr>
      <w:tr w:rsidR="008169F8" w:rsidRPr="003230DE" w14:paraId="0D7A6D51" w14:textId="77777777" w:rsidTr="00BB11AC">
        <w:trPr>
          <w:trHeight w:val="675"/>
        </w:trPr>
        <w:tc>
          <w:tcPr>
            <w:tcW w:w="5205" w:type="dxa"/>
            <w:tcBorders>
              <w:top w:val="nil"/>
              <w:left w:val="single" w:sz="6" w:space="0" w:color="auto"/>
              <w:bottom w:val="single" w:sz="6" w:space="0" w:color="auto"/>
              <w:right w:val="single" w:sz="6" w:space="0" w:color="auto"/>
            </w:tcBorders>
            <w:shd w:val="clear" w:color="auto" w:fill="auto"/>
            <w:hideMark/>
          </w:tcPr>
          <w:p w14:paraId="153BE20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55B4159" w14:textId="7A1E3539"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ETSI member organization:</w:t>
            </w:r>
            <w:r w:rsidRPr="003230DE">
              <w:rPr>
                <w:rFonts w:ascii="Times New Roman" w:hAnsi="Times New Roman"/>
                <w:lang w:eastAsia="en-GB"/>
              </w:rPr>
              <w:t> </w:t>
            </w:r>
            <w:r w:rsidR="002F3FAB">
              <w:rPr>
                <w:rFonts w:ascii="Times New Roman" w:hAnsi="Times New Roman"/>
                <w:lang w:eastAsia="en-GB"/>
              </w:rPr>
              <w:t>BMWK</w:t>
            </w:r>
          </w:p>
          <w:p w14:paraId="08E6B12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526D307" w14:textId="77777777" w:rsidR="008169F8" w:rsidRPr="003230DE" w:rsidRDefault="008169F8" w:rsidP="0005473C">
            <w:pPr>
              <w:rPr>
                <w:rFonts w:ascii="Times New Roman" w:hAnsi="Times New Roman"/>
                <w:sz w:val="24"/>
                <w:szCs w:val="24"/>
                <w:lang w:eastAsia="en-GB"/>
              </w:rPr>
            </w:pPr>
          </w:p>
        </w:tc>
      </w:tr>
    </w:tbl>
    <w:p w14:paraId="2CC071A0" w14:textId="77777777" w:rsidR="008169F8" w:rsidRPr="003230DE" w:rsidRDefault="008169F8" w:rsidP="008169F8">
      <w:pPr>
        <w:ind w:firstLine="1440"/>
        <w:rPr>
          <w:rFonts w:ascii="Segoe UI" w:hAnsi="Segoe UI" w:cs="Segoe UI"/>
          <w:sz w:val="18"/>
          <w:szCs w:val="18"/>
          <w:lang w:eastAsia="en-GB"/>
        </w:rPr>
      </w:pPr>
      <w:r w:rsidRPr="003230DE">
        <w:rPr>
          <w:rFonts w:ascii="Times New Roman" w:hAnsi="Times New Roman"/>
          <w:lang w:eastAsia="en-GB"/>
        </w:rPr>
        <w:t> </w:t>
      </w:r>
    </w:p>
    <w:p w14:paraId="6DD3DF9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3677BA"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MOTIVATION of your application:</w:t>
      </w:r>
      <w:r w:rsidRPr="003230DE">
        <w:rPr>
          <w:rFonts w:ascii="Times New Roman" w:hAnsi="Times New Roman"/>
          <w:lang w:eastAsia="en-GB"/>
        </w:rPr>
        <w:t> </w:t>
      </w:r>
    </w:p>
    <w:p w14:paraId="689C17C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5D3E88F" w14:textId="77777777" w:rsidR="00145004" w:rsidRPr="00145004" w:rsidRDefault="00145004" w:rsidP="00145004">
      <w:pPr>
        <w:rPr>
          <w:rFonts w:ascii="Times New Roman" w:hAnsi="Times New Roman"/>
          <w:color w:val="0000FF"/>
          <w:lang w:eastAsia="en-GB"/>
        </w:rPr>
      </w:pPr>
      <w:r w:rsidRPr="00145004">
        <w:rPr>
          <w:rFonts w:ascii="Times New Roman" w:hAnsi="Times New Roman"/>
          <w:color w:val="0000FF"/>
          <w:lang w:eastAsia="en-GB"/>
        </w:rPr>
        <w:t xml:space="preserve">My current involvement in ETSI working groups such as TC Smart M2M, OCG AN and TC MTS has led to constructive results in standardisation documents and significant networking with telecommunication experts. In this context, I consider the stronger participation in administrative issues as crucial for my experience building, with which I can strengthen my contribution within ETSI to European standardisation in the future. </w:t>
      </w:r>
    </w:p>
    <w:p w14:paraId="74A334E0" w14:textId="554C15CC" w:rsidR="008169F8" w:rsidRPr="003230DE" w:rsidRDefault="008169F8" w:rsidP="008169F8">
      <w:pPr>
        <w:rPr>
          <w:rFonts w:ascii="Segoe UI" w:hAnsi="Segoe UI" w:cs="Segoe UI"/>
          <w:sz w:val="18"/>
          <w:szCs w:val="18"/>
          <w:lang w:eastAsia="en-GB"/>
        </w:rPr>
      </w:pPr>
    </w:p>
    <w:p w14:paraId="3430700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146CA15"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PROFESSIONAL EXPERIENCE:</w:t>
      </w:r>
      <w:r w:rsidRPr="003230DE">
        <w:rPr>
          <w:rFonts w:ascii="Times New Roman" w:hAnsi="Times New Roman"/>
          <w:lang w:eastAsia="en-GB"/>
        </w:rPr>
        <w:t> </w:t>
      </w:r>
    </w:p>
    <w:p w14:paraId="53C3660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B1AB0CC" w14:textId="071C9E42" w:rsidR="00D53901" w:rsidRDefault="00D53901" w:rsidP="00D53901">
      <w:pPr>
        <w:rPr>
          <w:rFonts w:ascii="Times New Roman" w:hAnsi="Times New Roman"/>
          <w:color w:val="0000FF"/>
          <w:lang w:eastAsia="en-GB"/>
        </w:rPr>
      </w:pPr>
      <w:r>
        <w:rPr>
          <w:rFonts w:ascii="Times New Roman" w:hAnsi="Times New Roman"/>
          <w:color w:val="0000FF"/>
          <w:lang w:eastAsia="en-GB"/>
        </w:rPr>
        <w:t>Current active participation with own, active contributions:</w:t>
      </w:r>
    </w:p>
    <w:p w14:paraId="6E3F08B4" w14:textId="73AFF695" w:rsidR="00D53901" w:rsidRPr="00D53901" w:rsidRDefault="00D53901" w:rsidP="007A6BF5">
      <w:pPr>
        <w:pStyle w:val="ListParagraph"/>
        <w:numPr>
          <w:ilvl w:val="0"/>
          <w:numId w:val="27"/>
        </w:numPr>
        <w:jc w:val="left"/>
        <w:rPr>
          <w:rFonts w:ascii="Times New Roman" w:hAnsi="Times New Roman"/>
          <w:color w:val="0000FF"/>
          <w:lang w:eastAsia="en-GB"/>
        </w:rPr>
      </w:pPr>
      <w:r w:rsidRPr="00D53901">
        <w:rPr>
          <w:rFonts w:ascii="Times New Roman" w:hAnsi="Times New Roman"/>
          <w:color w:val="0000FF"/>
          <w:lang w:eastAsia="en-GB"/>
        </w:rPr>
        <w:t>Programming of a ML-based reference system</w:t>
      </w:r>
      <w:r w:rsidR="007A6BF5">
        <w:rPr>
          <w:rFonts w:ascii="Times New Roman" w:hAnsi="Times New Roman"/>
          <w:color w:val="0000FF"/>
          <w:lang w:eastAsia="en-GB"/>
        </w:rPr>
        <w:t xml:space="preserve"> for traffic classification based on video data</w:t>
      </w:r>
      <w:r w:rsidR="00893979">
        <w:rPr>
          <w:rFonts w:ascii="Times New Roman" w:hAnsi="Times New Roman"/>
          <w:color w:val="0000FF"/>
          <w:lang w:eastAsia="en-GB"/>
        </w:rPr>
        <w:t>;</w:t>
      </w:r>
      <w:r w:rsidRPr="00D53901">
        <w:rPr>
          <w:rFonts w:ascii="Times New Roman" w:hAnsi="Times New Roman"/>
          <w:color w:val="0000FF"/>
          <w:lang w:eastAsia="en-GB"/>
        </w:rPr>
        <w:t xml:space="preserve"> </w:t>
      </w:r>
      <w:r w:rsidR="00893979">
        <w:rPr>
          <w:rFonts w:ascii="Times New Roman" w:hAnsi="Times New Roman"/>
          <w:color w:val="0000FF"/>
          <w:lang w:eastAsia="en-GB"/>
        </w:rPr>
        <w:br/>
      </w:r>
      <w:r w:rsidRPr="00D53901">
        <w:rPr>
          <w:rFonts w:ascii="Times New Roman" w:hAnsi="Times New Roman"/>
          <w:color w:val="0000FF"/>
          <w:lang w:eastAsia="en-GB"/>
        </w:rPr>
        <w:t>Data</w:t>
      </w:r>
      <w:r w:rsidR="006B5242">
        <w:rPr>
          <w:rFonts w:ascii="Times New Roman" w:hAnsi="Times New Roman"/>
          <w:color w:val="0000FF"/>
          <w:lang w:eastAsia="en-GB"/>
        </w:rPr>
        <w:t xml:space="preserve"> </w:t>
      </w:r>
      <w:r w:rsidRPr="00D53901">
        <w:rPr>
          <w:rFonts w:ascii="Times New Roman" w:hAnsi="Times New Roman"/>
          <w:color w:val="0000FF"/>
          <w:lang w:eastAsia="en-GB"/>
        </w:rPr>
        <w:t xml:space="preserve">Science on traffic data at the DIGI-V project </w:t>
      </w:r>
      <w:r w:rsidR="00893979">
        <w:rPr>
          <w:rFonts w:ascii="Times New Roman" w:hAnsi="Times New Roman"/>
          <w:color w:val="0000FF"/>
          <w:lang w:eastAsia="en-GB"/>
        </w:rPr>
        <w:br/>
      </w:r>
      <w:r w:rsidRPr="00D53901">
        <w:rPr>
          <w:rFonts w:ascii="Times New Roman" w:hAnsi="Times New Roman"/>
          <w:color w:val="0000FF"/>
          <w:lang w:eastAsia="en-GB"/>
        </w:rPr>
        <w:t>(</w:t>
      </w:r>
      <w:r w:rsidR="00893979">
        <w:rPr>
          <w:rFonts w:ascii="Times New Roman" w:hAnsi="Times New Roman"/>
          <w:color w:val="0000FF"/>
          <w:lang w:eastAsia="en-GB"/>
        </w:rPr>
        <w:t>Road traffic authority</w:t>
      </w:r>
      <w:r w:rsidRPr="00D53901">
        <w:rPr>
          <w:rFonts w:ascii="Times New Roman" w:hAnsi="Times New Roman"/>
          <w:color w:val="0000FF"/>
          <w:lang w:eastAsia="en-GB"/>
        </w:rPr>
        <w:t xml:space="preserve"> of Wiesbaden in Germany)</w:t>
      </w:r>
      <w:r w:rsidR="007A6BF5">
        <w:rPr>
          <w:rFonts w:ascii="Times New Roman" w:hAnsi="Times New Roman"/>
          <w:color w:val="0000FF"/>
          <w:lang w:eastAsia="en-GB"/>
        </w:rPr>
        <w:t>;</w:t>
      </w:r>
    </w:p>
    <w:p w14:paraId="033DCA38" w14:textId="77777777" w:rsidR="00D53901" w:rsidRPr="00D53901" w:rsidRDefault="00D53901" w:rsidP="00D53901">
      <w:pPr>
        <w:rPr>
          <w:rFonts w:ascii="Times New Roman" w:hAnsi="Times New Roman"/>
          <w:color w:val="0000FF"/>
          <w:lang w:eastAsia="en-GB"/>
        </w:rPr>
      </w:pPr>
    </w:p>
    <w:p w14:paraId="74837E50" w14:textId="2B3B5E66" w:rsidR="00D53901" w:rsidRPr="00D53901" w:rsidRDefault="00D53901" w:rsidP="00D53901">
      <w:pPr>
        <w:pStyle w:val="ListParagraph"/>
        <w:numPr>
          <w:ilvl w:val="0"/>
          <w:numId w:val="27"/>
        </w:numPr>
        <w:rPr>
          <w:rFonts w:ascii="Times New Roman" w:hAnsi="Times New Roman"/>
          <w:color w:val="0000FF"/>
          <w:lang w:eastAsia="en-GB"/>
        </w:rPr>
      </w:pPr>
      <w:r w:rsidRPr="00D53901">
        <w:rPr>
          <w:rFonts w:ascii="Times New Roman" w:hAnsi="Times New Roman"/>
          <w:color w:val="0000FF"/>
          <w:lang w:eastAsia="en-GB"/>
        </w:rPr>
        <w:t>Standardisation of AI terminology: AI-Glossary.org</w:t>
      </w:r>
      <w:r w:rsidR="007A6BF5">
        <w:rPr>
          <w:rFonts w:ascii="Times New Roman" w:hAnsi="Times New Roman"/>
          <w:color w:val="0000FF"/>
          <w:lang w:eastAsia="en-GB"/>
        </w:rPr>
        <w:t>;</w:t>
      </w:r>
    </w:p>
    <w:p w14:paraId="7391B733" w14:textId="77777777" w:rsidR="00D53901" w:rsidRPr="00D53901" w:rsidRDefault="00D53901" w:rsidP="00D53901">
      <w:pPr>
        <w:rPr>
          <w:rFonts w:ascii="Times New Roman" w:hAnsi="Times New Roman"/>
          <w:color w:val="0000FF"/>
          <w:lang w:eastAsia="en-GB"/>
        </w:rPr>
      </w:pPr>
    </w:p>
    <w:p w14:paraId="382E2546" w14:textId="1FA13185" w:rsidR="00D53901" w:rsidRPr="00D53901" w:rsidRDefault="00D53901" w:rsidP="00D53901">
      <w:pPr>
        <w:pStyle w:val="ListParagraph"/>
        <w:numPr>
          <w:ilvl w:val="0"/>
          <w:numId w:val="27"/>
        </w:numPr>
        <w:rPr>
          <w:rFonts w:ascii="Times New Roman" w:hAnsi="Times New Roman"/>
          <w:color w:val="0000FF"/>
          <w:lang w:eastAsia="en-GB"/>
        </w:rPr>
      </w:pPr>
      <w:r w:rsidRPr="00D53901">
        <w:rPr>
          <w:rFonts w:ascii="Times New Roman" w:hAnsi="Times New Roman"/>
          <w:color w:val="0000FF"/>
          <w:lang w:eastAsia="en-GB"/>
        </w:rPr>
        <w:t xml:space="preserve">Natural language processing for AI-based analysis of patent, law and standardisation documents in the course of </w:t>
      </w:r>
      <w:r>
        <w:rPr>
          <w:rFonts w:ascii="Times New Roman" w:hAnsi="Times New Roman"/>
          <w:color w:val="0000FF"/>
          <w:lang w:eastAsia="en-GB"/>
        </w:rPr>
        <w:t xml:space="preserve">building up a </w:t>
      </w:r>
      <w:r w:rsidRPr="00D53901">
        <w:rPr>
          <w:rFonts w:ascii="Times New Roman" w:hAnsi="Times New Roman"/>
          <w:color w:val="0000FF"/>
          <w:lang w:eastAsia="en-GB"/>
        </w:rPr>
        <w:t>start-up: Codelligent.com</w:t>
      </w:r>
      <w:r w:rsidR="007A6BF5">
        <w:rPr>
          <w:rFonts w:ascii="Times New Roman" w:hAnsi="Times New Roman"/>
          <w:color w:val="0000FF"/>
          <w:lang w:eastAsia="en-GB"/>
        </w:rPr>
        <w:t>;</w:t>
      </w:r>
    </w:p>
    <w:p w14:paraId="5D58D11C" w14:textId="77777777" w:rsidR="00D53901" w:rsidRPr="00D53901" w:rsidRDefault="00D53901" w:rsidP="00D53901">
      <w:pPr>
        <w:rPr>
          <w:rFonts w:ascii="Times New Roman" w:hAnsi="Times New Roman"/>
          <w:color w:val="0000FF"/>
          <w:lang w:eastAsia="en-GB"/>
        </w:rPr>
      </w:pPr>
    </w:p>
    <w:p w14:paraId="335B017B" w14:textId="05F57337" w:rsidR="00D53901" w:rsidRPr="00D53901" w:rsidRDefault="00D53901" w:rsidP="007A6BF5">
      <w:pPr>
        <w:pStyle w:val="ListParagraph"/>
        <w:numPr>
          <w:ilvl w:val="0"/>
          <w:numId w:val="27"/>
        </w:numPr>
        <w:jc w:val="left"/>
        <w:rPr>
          <w:rFonts w:ascii="Times New Roman" w:hAnsi="Times New Roman"/>
          <w:color w:val="0000FF"/>
          <w:lang w:eastAsia="en-GB"/>
        </w:rPr>
      </w:pPr>
      <w:r w:rsidRPr="00D53901">
        <w:rPr>
          <w:rFonts w:ascii="Times New Roman" w:hAnsi="Times New Roman"/>
          <w:color w:val="0000FF"/>
          <w:lang w:eastAsia="en-GB"/>
        </w:rPr>
        <w:t xml:space="preserve">Head of the ad-hoc group on AI classification at the German mirror committee: </w:t>
      </w:r>
      <w:r w:rsidR="006B5242">
        <w:rPr>
          <w:rFonts w:ascii="Times New Roman" w:hAnsi="Times New Roman"/>
          <w:color w:val="0000FF"/>
          <w:lang w:eastAsia="en-GB"/>
        </w:rPr>
        <w:br/>
      </w:r>
      <w:r w:rsidRPr="00D53901">
        <w:rPr>
          <w:rFonts w:ascii="Times New Roman" w:hAnsi="Times New Roman"/>
          <w:color w:val="0000FF"/>
          <w:lang w:eastAsia="en-GB"/>
        </w:rPr>
        <w:t>DIN/DKE NA043-01-42 GA "Artificial Intelligence</w:t>
      </w:r>
      <w:r w:rsidR="007A6BF5">
        <w:rPr>
          <w:rFonts w:ascii="Times New Roman" w:hAnsi="Times New Roman"/>
          <w:color w:val="0000FF"/>
          <w:lang w:eastAsia="en-GB"/>
        </w:rPr>
        <w:t>;</w:t>
      </w:r>
    </w:p>
    <w:p w14:paraId="45548B26" w14:textId="77777777" w:rsidR="00D53901" w:rsidRPr="00D53901" w:rsidRDefault="00D53901" w:rsidP="00D53901">
      <w:pPr>
        <w:rPr>
          <w:rFonts w:ascii="Times New Roman" w:hAnsi="Times New Roman"/>
          <w:color w:val="0000FF"/>
          <w:lang w:eastAsia="en-GB"/>
        </w:rPr>
      </w:pPr>
    </w:p>
    <w:p w14:paraId="5B17F042" w14:textId="4A6E7987" w:rsidR="00D53901" w:rsidRDefault="00D53901" w:rsidP="00D53901">
      <w:pPr>
        <w:pStyle w:val="ListParagraph"/>
        <w:numPr>
          <w:ilvl w:val="0"/>
          <w:numId w:val="27"/>
        </w:numPr>
        <w:jc w:val="left"/>
        <w:rPr>
          <w:rFonts w:ascii="Times New Roman" w:hAnsi="Times New Roman"/>
          <w:color w:val="0000FF"/>
          <w:lang w:eastAsia="en-GB"/>
        </w:rPr>
      </w:pPr>
      <w:r w:rsidRPr="00D53901">
        <w:rPr>
          <w:rFonts w:ascii="Times New Roman" w:hAnsi="Times New Roman"/>
          <w:color w:val="0000FF"/>
          <w:lang w:eastAsia="en-GB"/>
        </w:rPr>
        <w:t xml:space="preserve">ISO/IEC JTC1 SC42 "Artificial Intelligence": </w:t>
      </w:r>
      <w:r>
        <w:rPr>
          <w:rFonts w:ascii="Times New Roman" w:hAnsi="Times New Roman"/>
          <w:color w:val="0000FF"/>
          <w:lang w:eastAsia="en-GB"/>
        </w:rPr>
        <w:br/>
      </w:r>
      <w:r w:rsidRPr="00D53901">
        <w:rPr>
          <w:rFonts w:ascii="Times New Roman" w:hAnsi="Times New Roman"/>
          <w:color w:val="0000FF"/>
          <w:lang w:eastAsia="en-GB"/>
        </w:rPr>
        <w:t>Defending, gaining opinions, reaching consensus and current submission for voting of own project on AI classification: ISO/IEC 42102 "Taxonomy of AI s</w:t>
      </w:r>
      <w:r w:rsidR="007A6BF5">
        <w:rPr>
          <w:rFonts w:ascii="Times New Roman" w:hAnsi="Times New Roman"/>
          <w:color w:val="0000FF"/>
          <w:lang w:eastAsia="en-GB"/>
        </w:rPr>
        <w:t>ystem methods and capabilities";</w:t>
      </w:r>
    </w:p>
    <w:p w14:paraId="4068EBA5" w14:textId="77777777" w:rsidR="00D53901" w:rsidRPr="00D53901" w:rsidRDefault="00D53901" w:rsidP="00D53901">
      <w:pPr>
        <w:pStyle w:val="ListParagraph"/>
        <w:rPr>
          <w:rFonts w:ascii="Times New Roman" w:hAnsi="Times New Roman"/>
          <w:color w:val="0000FF"/>
          <w:lang w:eastAsia="en-GB"/>
        </w:rPr>
      </w:pPr>
    </w:p>
    <w:p w14:paraId="3D164511" w14:textId="0B391234" w:rsidR="00D53901" w:rsidRPr="00D53901" w:rsidRDefault="00D53901" w:rsidP="00D53901">
      <w:pPr>
        <w:pStyle w:val="ListParagraph"/>
        <w:numPr>
          <w:ilvl w:val="0"/>
          <w:numId w:val="27"/>
        </w:numPr>
        <w:jc w:val="left"/>
        <w:rPr>
          <w:rFonts w:ascii="Times New Roman" w:hAnsi="Times New Roman"/>
          <w:color w:val="0000FF"/>
          <w:lang w:eastAsia="en-GB"/>
        </w:rPr>
      </w:pPr>
      <w:r w:rsidRPr="00D53901">
        <w:rPr>
          <w:rFonts w:ascii="Times New Roman" w:hAnsi="Times New Roman"/>
          <w:color w:val="0000FF"/>
          <w:lang w:eastAsia="en-GB"/>
        </w:rPr>
        <w:t>Current participation in projects of CEN-CENELEC JTC21 "Artificial Intelligence".</w:t>
      </w:r>
      <w:r w:rsidRPr="00D53901">
        <w:rPr>
          <w:rFonts w:ascii="Times New Roman" w:hAnsi="Times New Roman"/>
          <w:color w:val="0000FF"/>
          <w:lang w:eastAsia="en-GB"/>
        </w:rPr>
        <w:br/>
        <w:t>- TR on Sustainability</w:t>
      </w:r>
      <w:r>
        <w:rPr>
          <w:rFonts w:ascii="Times New Roman" w:hAnsi="Times New Roman"/>
          <w:color w:val="0000FF"/>
          <w:lang w:eastAsia="en-GB"/>
        </w:rPr>
        <w:br/>
      </w:r>
      <w:r w:rsidRPr="00D53901">
        <w:rPr>
          <w:rFonts w:ascii="Times New Roman" w:hAnsi="Times New Roman"/>
          <w:color w:val="0000FF"/>
          <w:lang w:eastAsia="en-GB"/>
        </w:rPr>
        <w:t>- TR on Natural Language Processing</w:t>
      </w:r>
      <w:r>
        <w:rPr>
          <w:rFonts w:ascii="Times New Roman" w:hAnsi="Times New Roman"/>
          <w:color w:val="0000FF"/>
          <w:lang w:eastAsia="en-GB"/>
        </w:rPr>
        <w:br/>
      </w:r>
      <w:r w:rsidRPr="00D53901">
        <w:rPr>
          <w:rFonts w:ascii="Times New Roman" w:hAnsi="Times New Roman"/>
          <w:color w:val="0000FF"/>
          <w:lang w:eastAsia="en-GB"/>
        </w:rPr>
        <w:t>- EN on Logging</w:t>
      </w:r>
      <w:r w:rsidR="007A6BF5">
        <w:rPr>
          <w:rFonts w:ascii="Times New Roman" w:hAnsi="Times New Roman"/>
          <w:color w:val="0000FF"/>
          <w:lang w:eastAsia="en-GB"/>
        </w:rPr>
        <w:t>;</w:t>
      </w:r>
    </w:p>
    <w:p w14:paraId="1A646722" w14:textId="77777777" w:rsidR="00D53901" w:rsidRPr="00D53901" w:rsidRDefault="00D53901" w:rsidP="00D53901">
      <w:pPr>
        <w:rPr>
          <w:rFonts w:ascii="Times New Roman" w:hAnsi="Times New Roman"/>
          <w:color w:val="0000FF"/>
          <w:lang w:eastAsia="en-GB"/>
        </w:rPr>
      </w:pPr>
    </w:p>
    <w:p w14:paraId="18D5418B" w14:textId="6DE1BD43" w:rsidR="00D53901" w:rsidRPr="00D53901" w:rsidRDefault="00D53901" w:rsidP="00D53901">
      <w:pPr>
        <w:rPr>
          <w:rFonts w:ascii="Times New Roman" w:hAnsi="Times New Roman"/>
          <w:color w:val="0000FF"/>
          <w:lang w:eastAsia="en-GB"/>
        </w:rPr>
      </w:pPr>
      <w:r w:rsidRPr="00D53901">
        <w:rPr>
          <w:rFonts w:ascii="Times New Roman" w:hAnsi="Times New Roman"/>
          <w:color w:val="0000FF"/>
          <w:lang w:eastAsia="en-GB"/>
        </w:rPr>
        <w:t>Cu</w:t>
      </w:r>
      <w:r>
        <w:rPr>
          <w:rFonts w:ascii="Times New Roman" w:hAnsi="Times New Roman"/>
          <w:color w:val="0000FF"/>
          <w:lang w:eastAsia="en-GB"/>
        </w:rPr>
        <w:t>r</w:t>
      </w:r>
      <w:r w:rsidRPr="00D53901">
        <w:rPr>
          <w:rFonts w:ascii="Times New Roman" w:hAnsi="Times New Roman"/>
          <w:color w:val="0000FF"/>
          <w:lang w:eastAsia="en-GB"/>
        </w:rPr>
        <w:t>rent Participation in ETSI:</w:t>
      </w:r>
    </w:p>
    <w:p w14:paraId="48404232" w14:textId="2DED0755" w:rsidR="00D53901" w:rsidRPr="00D53901" w:rsidRDefault="00D53901" w:rsidP="00D53901">
      <w:pPr>
        <w:rPr>
          <w:rFonts w:ascii="Times New Roman" w:hAnsi="Times New Roman"/>
          <w:color w:val="0000FF"/>
          <w:lang w:eastAsia="en-GB"/>
        </w:rPr>
      </w:pPr>
      <w:r w:rsidRPr="00D53901">
        <w:rPr>
          <w:rFonts w:ascii="Times New Roman" w:hAnsi="Times New Roman"/>
          <w:color w:val="0000FF"/>
          <w:lang w:eastAsia="en-GB"/>
        </w:rPr>
        <w:t xml:space="preserve">- </w:t>
      </w:r>
      <w:r>
        <w:rPr>
          <w:rFonts w:ascii="Times New Roman" w:hAnsi="Times New Roman"/>
          <w:color w:val="0000FF"/>
          <w:lang w:eastAsia="en-GB"/>
        </w:rPr>
        <w:t xml:space="preserve">ETSI MTS </w:t>
      </w:r>
      <w:r w:rsidRPr="00D53901">
        <w:rPr>
          <w:rFonts w:ascii="Times New Roman" w:hAnsi="Times New Roman"/>
          <w:color w:val="0000FF"/>
          <w:lang w:eastAsia="en-GB"/>
        </w:rPr>
        <w:t>TR on testing of ML-Sytems</w:t>
      </w:r>
      <w:r w:rsidR="007A6BF5">
        <w:rPr>
          <w:rFonts w:ascii="Times New Roman" w:hAnsi="Times New Roman"/>
          <w:color w:val="0000FF"/>
          <w:lang w:eastAsia="en-GB"/>
        </w:rPr>
        <w:t>.</w:t>
      </w:r>
    </w:p>
    <w:p w14:paraId="643843B1" w14:textId="77777777" w:rsidR="00D53901" w:rsidRPr="00D53901" w:rsidRDefault="00D53901" w:rsidP="00D53901">
      <w:pPr>
        <w:rPr>
          <w:rFonts w:ascii="Times New Roman" w:hAnsi="Times New Roman"/>
          <w:color w:val="0000FF"/>
          <w:lang w:eastAsia="en-GB"/>
        </w:rPr>
      </w:pPr>
    </w:p>
    <w:p w14:paraId="5D89BABC" w14:textId="77777777" w:rsidR="00D53901" w:rsidRPr="00D53901" w:rsidRDefault="00D53901" w:rsidP="00D53901">
      <w:pPr>
        <w:rPr>
          <w:rFonts w:ascii="Times New Roman" w:hAnsi="Times New Roman"/>
          <w:color w:val="0000FF"/>
          <w:lang w:eastAsia="en-GB"/>
        </w:rPr>
      </w:pPr>
    </w:p>
    <w:p w14:paraId="07CDAB8C" w14:textId="77777777" w:rsidR="00D53901" w:rsidRPr="00D53901" w:rsidRDefault="00D53901" w:rsidP="00D53901">
      <w:pPr>
        <w:rPr>
          <w:rFonts w:ascii="Times New Roman" w:hAnsi="Times New Roman"/>
          <w:color w:val="0000FF"/>
          <w:lang w:eastAsia="en-GB"/>
        </w:rPr>
      </w:pPr>
    </w:p>
    <w:p w14:paraId="5C3AFF5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E617B2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BF426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062D663"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OTHER INFORMATION:</w:t>
      </w:r>
      <w:r w:rsidRPr="003230DE">
        <w:rPr>
          <w:rFonts w:ascii="Times New Roman" w:hAnsi="Times New Roman"/>
          <w:lang w:eastAsia="en-GB"/>
        </w:rPr>
        <w:t> </w:t>
      </w:r>
    </w:p>
    <w:p w14:paraId="5AC7688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F03129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3EBE54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2BC7626E" w14:textId="77777777" w:rsidR="008169F8" w:rsidRDefault="008169F8" w:rsidP="008169F8">
      <w:pPr>
        <w:rPr>
          <w:rFonts w:cs="Arial"/>
          <w:lang w:eastAsia="en-GB"/>
        </w:rPr>
      </w:pPr>
      <w:r w:rsidRPr="003230DE">
        <w:rPr>
          <w:rFonts w:ascii="Segoe UI" w:hAnsi="Segoe UI" w:cs="Segoe UI"/>
          <w:color w:val="666666"/>
          <w:sz w:val="18"/>
          <w:szCs w:val="18"/>
          <w:shd w:val="clear" w:color="auto" w:fill="FFFFFF"/>
          <w:lang w:eastAsia="en-GB"/>
        </w:rPr>
        <w:t>Page Break</w:t>
      </w:r>
      <w:r w:rsidRPr="003230DE">
        <w:rPr>
          <w:rFonts w:cs="Arial"/>
          <w:lang w:eastAsia="en-GB"/>
        </w:rPr>
        <w:t> </w:t>
      </w:r>
    </w:p>
    <w:p w14:paraId="1B17F20D" w14:textId="77777777" w:rsidR="008169F8" w:rsidRDefault="008169F8" w:rsidP="008169F8">
      <w:pPr>
        <w:rPr>
          <w:rFonts w:cs="Arial"/>
          <w:lang w:eastAsia="en-GB"/>
        </w:rPr>
      </w:pPr>
      <w:r>
        <w:rPr>
          <w:rFonts w:cs="Arial"/>
          <w:lang w:eastAsia="en-GB"/>
        </w:rPr>
        <w:br w:type="page"/>
      </w:r>
    </w:p>
    <w:p w14:paraId="00AD9945" w14:textId="77777777" w:rsidR="008169F8" w:rsidRPr="003230DE" w:rsidRDefault="008169F8" w:rsidP="008169F8">
      <w:pPr>
        <w:rPr>
          <w:rFonts w:ascii="Segoe UI" w:hAnsi="Segoe UI" w:cs="Segoe UI"/>
          <w:sz w:val="18"/>
          <w:szCs w:val="18"/>
          <w:lang w:eastAsia="en-GB"/>
        </w:rPr>
      </w:pPr>
    </w:p>
    <w:p w14:paraId="1EDD968E" w14:textId="77777777"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Annex B: ETSI Technical Working Procedures extracts</w:t>
      </w:r>
      <w:r w:rsidRPr="003230DE">
        <w:rPr>
          <w:rFonts w:cs="Arial"/>
          <w:sz w:val="36"/>
          <w:szCs w:val="36"/>
          <w:lang w:eastAsia="en-GB"/>
        </w:rPr>
        <w:t> </w:t>
      </w:r>
    </w:p>
    <w:p w14:paraId="35E578B0"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3F53D8A2" w14:textId="77777777" w:rsidR="008169F8" w:rsidRPr="003230DE" w:rsidRDefault="00F51F64" w:rsidP="008169F8">
      <w:pPr>
        <w:rPr>
          <w:rFonts w:ascii="Segoe UI" w:hAnsi="Segoe UI" w:cs="Segoe UI"/>
          <w:sz w:val="18"/>
          <w:szCs w:val="18"/>
          <w:lang w:eastAsia="en-GB"/>
        </w:rPr>
      </w:pPr>
      <w:hyperlink r:id="rId13" w:tgtFrame="_blank" w:history="1">
        <w:r w:rsidR="008169F8" w:rsidRPr="003230DE">
          <w:rPr>
            <w:rFonts w:cs="Arial"/>
            <w:color w:val="0000FF"/>
            <w:u w:val="single"/>
            <w:lang w:eastAsia="en-GB"/>
          </w:rPr>
          <w:t>https://portal.etsi.org/Resources/ETSI-Directives</w:t>
        </w:r>
      </w:hyperlink>
      <w:r w:rsidR="008169F8" w:rsidRPr="003230DE">
        <w:rPr>
          <w:rFonts w:cs="Arial"/>
          <w:lang w:eastAsia="en-GB"/>
        </w:rPr>
        <w:t>  </w:t>
      </w:r>
    </w:p>
    <w:p w14:paraId="0EAA952C"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4129760D"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 Appointment of TB Chairman/Vice-Chairmen and WG Chairmen </w:t>
      </w:r>
      <w:r w:rsidRPr="003230DE">
        <w:rPr>
          <w:rFonts w:cs="Arial"/>
          <w:color w:val="000000"/>
          <w:lang w:eastAsia="en-GB"/>
        </w:rPr>
        <w:t> </w:t>
      </w:r>
      <w:r w:rsidRPr="003230DE">
        <w:rPr>
          <w:rFonts w:cs="Arial"/>
          <w:color w:val="000000"/>
          <w:lang w:eastAsia="en-GB"/>
        </w:rPr>
        <w:br/>
        <w:t> </w:t>
      </w:r>
    </w:p>
    <w:p w14:paraId="6EA2ABFC"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1.3.1 Appointment of Chairman </w:t>
      </w:r>
      <w:r w:rsidRPr="003230DE">
        <w:rPr>
          <w:rFonts w:cs="Arial"/>
          <w:color w:val="000000"/>
          <w:lang w:eastAsia="en-GB"/>
        </w:rPr>
        <w:t> </w:t>
      </w:r>
    </w:p>
    <w:p w14:paraId="71ACC58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shall be appointed by the TB for a period of two (2) years. The appointment shall be confirmed by the Board.  </w:t>
      </w:r>
    </w:p>
    <w:p w14:paraId="0C22A3F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When justified, the Board may ask a TB Chairman to step down from his position of office.</w:t>
      </w:r>
      <w:r w:rsidRPr="003230DE">
        <w:rPr>
          <w:rFonts w:cs="Arial"/>
          <w:sz w:val="24"/>
          <w:szCs w:val="24"/>
          <w:lang w:eastAsia="en-GB"/>
        </w:rPr>
        <w:t>  </w:t>
      </w:r>
    </w:p>
    <w:p w14:paraId="27F7E436"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If more than one (1) candidate exists for the position of TB Chairman and the TB is unable to decide on one (1) candidate using the decision-making procedures given in Clause 1.7, the matter shall be referred to the Board for resolution.  </w:t>
      </w:r>
    </w:p>
    <w:p w14:paraId="6BFAC408"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In the case of a joint TB with CEN and/or CENELEC (mode 5) the appointment of a Chairman is covered by mode 5 of the Basic Co-operation Agreement (see Annex P below).  </w:t>
      </w:r>
    </w:p>
    <w:p w14:paraId="0E3F4DA3"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w:t>
      </w:r>
    </w:p>
    <w:p w14:paraId="2D921AE4" w14:textId="77777777" w:rsidR="008169F8" w:rsidRPr="003230DE" w:rsidRDefault="008169F8" w:rsidP="008169F8">
      <w:pPr>
        <w:rPr>
          <w:rFonts w:ascii="Segoe UI" w:hAnsi="Segoe UI" w:cs="Segoe UI"/>
          <w:color w:val="000000"/>
          <w:sz w:val="18"/>
          <w:szCs w:val="18"/>
          <w:lang w:eastAsia="en-GB"/>
        </w:rPr>
      </w:pPr>
      <w:r w:rsidRPr="003230DE">
        <w:rPr>
          <w:rFonts w:cs="Arial"/>
          <w:b/>
          <w:bCs/>
          <w:lang w:eastAsia="en-GB"/>
        </w:rPr>
        <w:t>1.3.2 Appointment of Vice-Chairmen and WG Chairmen </w:t>
      </w:r>
      <w:r w:rsidRPr="003230DE">
        <w:rPr>
          <w:rFonts w:cs="Arial"/>
          <w:lang w:eastAsia="en-GB"/>
        </w:rPr>
        <w:t> </w:t>
      </w:r>
    </w:p>
    <w:p w14:paraId="591E6AE7" w14:textId="77777777" w:rsidR="008169F8" w:rsidRPr="003230DE" w:rsidRDefault="008169F8" w:rsidP="008169F8">
      <w:pPr>
        <w:rPr>
          <w:rFonts w:ascii="Segoe UI" w:hAnsi="Segoe UI" w:cs="Segoe UI"/>
          <w:sz w:val="18"/>
          <w:szCs w:val="18"/>
          <w:lang w:eastAsia="en-GB"/>
        </w:rPr>
      </w:pPr>
      <w:r w:rsidRPr="003230DE">
        <w:rPr>
          <w:rFonts w:cs="Arial"/>
          <w:lang w:eastAsia="en-GB"/>
        </w:rPr>
        <w:t>A TB may appoint Vice-Chairmen and WG Chairmen for a period of two (2) years using the decision-making procedures given in Clause 1.7. After each two (2) year period they may be re-appointed. </w:t>
      </w:r>
    </w:p>
    <w:p w14:paraId="7EF80418"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0BC2074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1.3.3 Responsibilities of Chairmen </w:t>
      </w:r>
      <w:r w:rsidRPr="003230DE">
        <w:rPr>
          <w:rFonts w:cs="Arial"/>
          <w:color w:val="000000"/>
          <w:lang w:eastAsia="en-GB"/>
        </w:rPr>
        <w:t> </w:t>
      </w:r>
    </w:p>
    <w:p w14:paraId="2D9EF51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is responsible for the overall management of the work programme and the efficient working of the TB and its Working Groups. The Chairman has an overall responsibility to ensure that the activities of his TB follow ETSI policies and procedures.  </w:t>
      </w:r>
    </w:p>
    <w:p w14:paraId="462DE85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may nominate individuals to assist in the work.  </w:t>
      </w:r>
    </w:p>
    <w:p w14:paraId="6A385D0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is responsible for reporting to the Board and the General Assembly on the activities of the TB upon request.  </w:t>
      </w:r>
    </w:p>
    <w:p w14:paraId="0F54B6B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performing these tasks, he shall maintain strict impartiality and act in the interest of ETSI and its members.  </w:t>
      </w:r>
    </w:p>
    <w:p w14:paraId="3FF1A18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a joint TB with CEN and/or CENELEC under mode 5 of the Basic Co-operation Agreement (see Annex P below) the Chairman shall also act impartially with respect to the partner ESO(s) and its members. </w:t>
      </w:r>
    </w:p>
    <w:p w14:paraId="33CDBFB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77406788"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1.4 Participation in the work of a TB </w:t>
      </w:r>
      <w:r w:rsidRPr="003230DE">
        <w:rPr>
          <w:rFonts w:cs="Arial"/>
          <w:color w:val="000000"/>
          <w:lang w:eastAsia="en-GB"/>
        </w:rPr>
        <w:t> </w:t>
      </w:r>
    </w:p>
    <w:p w14:paraId="7CD0B20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Full members have the right to attend meetings of a TB and to participate in the work with the right to vote.  </w:t>
      </w:r>
    </w:p>
    <w:p w14:paraId="6D49DC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Associate members have the right to attend meetings of a TB and to participate in the work with the right to vote on all matters except those related to the elaboration and approval of ENs or on matters concerning documents exclusively intended for regulatory use by the European Union.  </w:t>
      </w:r>
    </w:p>
    <w:p w14:paraId="4593883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Associations which are Full or Associate members shall be represented by their employees and elected officials. In addition, a maximum of one (1) nominated technical expert per meeting shall be allowed to attend and participate in meetings and shall come from a member of the said Association, unless explicitly authorised by the Director-General on a case-by-case basis.  </w:t>
      </w:r>
    </w:p>
    <w:p w14:paraId="47DEC29C"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This expert shall be officially nominated in writing by the said Association before the meeting begins.  </w:t>
      </w:r>
    </w:p>
    <w:p w14:paraId="47DCBFD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All employees, elected officials and/or nominated technical expert of an Association attending ETSI meetings shall only represent that Association’s views. In any case, where an Association is submitting a technical proposal for a standard or a technical specification, it shall, on a bona fide basis, comply with the ETSI IPR Policy and draw the attention of ETSI not only to any of that Association’s IPR which might be essential if that proposal is adopted, but also to any of that Association’s member’s IPR, which might be essential if that proposal is adopted.  </w:t>
      </w:r>
    </w:p>
    <w:p w14:paraId="7AB7E3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Counsellors may attend meetings of a TB and participate in the work without the right to vote.  </w:t>
      </w:r>
    </w:p>
    <w:p w14:paraId="7BA8743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Observers do not have the right to attend the meetings of a TB or to participate in the work of a TB.  </w:t>
      </w:r>
    </w:p>
    <w:p w14:paraId="087F68C8"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On an exceptional and temporary basis, ETSI Observers and non-members which have applied to attend TB meetings, may be invited or authorized by the Chairman to attend meetings of a TB, provided that the presence of this ETSI Observer or non-member is justified by a legitimate interest with regard to the work currently in progress.  </w:t>
      </w:r>
    </w:p>
    <w:p w14:paraId="1AE36B7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219D9D0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authorization or refusal of the Chairman shall be made to such an applicant in writing and shall contain appropriate justification of the Chairman's decision. The TB Chairman shall notify the Secretariat of the decision. This authorization shall be limited to three (3) meetings of the TB or six (6) months (whichever is the shorter) after which point they shall be requested to become members.  </w:t>
      </w:r>
    </w:p>
    <w:p w14:paraId="369DDA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ETSI Observers or non-members authorized to attend TB meetings may only contribute documents for information. Their participation shall be limited to presentation of, and answering questions on, their own </w:t>
      </w:r>
      <w:r w:rsidRPr="003230DE">
        <w:rPr>
          <w:rFonts w:cs="Arial"/>
          <w:color w:val="000000"/>
          <w:lang w:eastAsia="en-GB"/>
        </w:rPr>
        <w:lastRenderedPageBreak/>
        <w:t>contributions. The Chairman shall announce to the meeting the identity of any ETSI Observers or non-members invited to attend under this rule. This information shall be included in the meeting report.  </w:t>
      </w:r>
    </w:p>
    <w:p w14:paraId="60CAB8B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On an exceptional and temporary basis, in the case where the General Assembly has agreed to commence discussions on the establishment of an ETSI Partnership Project, the Board may approve the participation in TB meetings (without the right to vote) of the members of external bodies, which have signed a Partnership Agreement with ETSI and which are potential members of the intended Partnership Project.  </w:t>
      </w:r>
    </w:p>
    <w:p w14:paraId="5C1E35A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Board shall identify the relevant TB and the time period for which such participation is permitted. Such participation, including the right to contribute, shall be subject to a contractual commitment by the member of the external body to comply with the ETSI Directives, including compliance with the ETSI IPR Policy.  </w:t>
      </w:r>
    </w:p>
    <w:p w14:paraId="0DFD1F5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Director-General may authorize the provisional participation of applicants for Full or Associate membership within the Technical Organization before the application for membership is formally approved by the General Assembly.  </w:t>
      </w:r>
    </w:p>
    <w:p w14:paraId="42A7EDA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participation in a TB meeting of representatives of external bodies with which ETSI has a Partnership Agreement is regulated specifically within those agreements.  </w:t>
      </w:r>
    </w:p>
    <w:p w14:paraId="3F54D71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ETSI Technical Bodies where CEN or CENELEC participate under modes 2, 3 or 4, and in the case of a joint TB with CEN and/or CENELEC (mode 5), these rights and responsibilities are identified in the Basic Co-operation Agreement (see Annex P below).  </w:t>
      </w:r>
    </w:p>
    <w:p w14:paraId="34CD5D4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Remote participation in TB meetings (e.g. audio conference, webcast, etc.) should be permitted whenever technically possible. Such participation should, at least, be on the basis of complete agenda items and not misused to influence the outcome of votes where the remote participant has not been involved in the preceding discussions.  </w:t>
      </w:r>
    </w:p>
    <w:p w14:paraId="457F922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4A15DE12"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 Principles of decision-making </w:t>
      </w:r>
      <w:r w:rsidRPr="003230DE">
        <w:rPr>
          <w:rFonts w:cs="Arial"/>
          <w:color w:val="000000"/>
          <w:lang w:eastAsia="en-GB"/>
        </w:rPr>
        <w:t> </w:t>
      </w:r>
    </w:p>
    <w:p w14:paraId="43F52976"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TB shall endeavour to reach Consensus on all issues, including the approval of draft ETSI deliverables and the adoption of Technical Specifications and Technical Reports.  </w:t>
      </w:r>
    </w:p>
    <w:p w14:paraId="2F44744D"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Consensus cannot be achieved, the Chairman can decide to take a vote which may be performed by a secret ballot.  </w:t>
      </w:r>
    </w:p>
    <w:p w14:paraId="702E7F0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vote may be conducted during a TB meeting or by correspondence.  </w:t>
      </w:r>
    </w:p>
    <w:p w14:paraId="42CCB75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Where voting is used, vote results shall be evaluated by the Chairman using the individual weighting of each Full or Associate member as described in Article 11 of the Rules of Procedure.  </w:t>
      </w:r>
    </w:p>
    <w:p w14:paraId="42A35A0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proposal shall be deemed to be approved if seventy one percent (71 %) of the votes cast are in favour. Abstentions or failure to submit a vote shall not be included in determining the number of votes cast.  </w:t>
      </w:r>
    </w:p>
    <w:p w14:paraId="0FC29AD0"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a proposal fails to achieve seventy one percent (71 %), the result shall be re-calculated using the votes of Full members only.  </w:t>
      </w:r>
    </w:p>
    <w:p w14:paraId="37B9DB3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the re-calculated result achieves seventy one percent (71 %), the proposal shall be deemed to be approved.  </w:t>
      </w:r>
    </w:p>
    <w:p w14:paraId="701C2CB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03EC50DC"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In the case of a joint TB with CEN and/or CENELEC (mode 5) the joint TB operates on the basis of Consensus of its participants.  </w:t>
      </w:r>
    </w:p>
    <w:p w14:paraId="1BE6BC7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Missing Consensus and blocking situations on technical issues or procedural aspects should be reported to the relevant Secretariat(s) or Board(s) as described in the Basic Co-operation Agreement (see Annex P below).  </w:t>
      </w:r>
    </w:p>
    <w:p w14:paraId="7DD847EA"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6D4BC86D"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1.7.1.1 Voting during a TB meeting </w:t>
      </w:r>
      <w:r w:rsidRPr="003230DE">
        <w:rPr>
          <w:rFonts w:cs="Arial"/>
          <w:color w:val="000000"/>
          <w:lang w:eastAsia="en-GB"/>
        </w:rPr>
        <w:t> </w:t>
      </w:r>
    </w:p>
    <w:p w14:paraId="0F54F782"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during a TB meeting:  </w:t>
      </w:r>
    </w:p>
    <w:p w14:paraId="49A7FE1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w:t>
      </w:r>
    </w:p>
    <w:p w14:paraId="4CCB4CE3"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a Full or Associate member has more than one (1) representative, only one (1) may vote;  </w:t>
      </w:r>
    </w:p>
    <w:p w14:paraId="2E517177"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t>
      </w:r>
    </w:p>
    <w:p w14:paraId="057AA346"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vote;  </w:t>
      </w:r>
    </w:p>
    <w:p w14:paraId="4CD65B04"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opinions of Counsellors (and in the case of ENs or regulatory documents, Associate members) should be noted;  </w:t>
      </w:r>
    </w:p>
    <w:p w14:paraId="566E973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voting by proxy is not permitted;  </w:t>
      </w:r>
    </w:p>
    <w:p w14:paraId="6BAB44D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there are no quorum requirements and vote splitting is not permitted;  </w:t>
      </w:r>
    </w:p>
    <w:p w14:paraId="247CA0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result of the vote shall be recorded in the meeting report.  </w:t>
      </w:r>
    </w:p>
    <w:p w14:paraId="5C1CC7A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572392E1"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1.7.1.2 Voting by correspondence </w:t>
      </w:r>
      <w:r w:rsidRPr="003230DE">
        <w:rPr>
          <w:rFonts w:cs="Arial"/>
          <w:color w:val="000000"/>
          <w:lang w:eastAsia="en-GB"/>
        </w:rPr>
        <w:t> </w:t>
      </w:r>
    </w:p>
    <w:p w14:paraId="0AC6935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by correspondence:  </w:t>
      </w:r>
    </w:p>
    <w:p w14:paraId="7F0F1CA9"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and disseminated to all on the TB membership list;  </w:t>
      </w:r>
    </w:p>
    <w:p w14:paraId="01CB781C"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within the thirty (30) day voting period.  </w:t>
      </w:r>
    </w:p>
    <w:p w14:paraId="75CB6F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vote;  </w:t>
      </w:r>
    </w:p>
    <w:p w14:paraId="187833D0"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lastRenderedPageBreak/>
        <w:t>- </w:t>
      </w:r>
      <w:r w:rsidRPr="003230DE">
        <w:rPr>
          <w:rFonts w:cs="Arial"/>
          <w:color w:val="000000"/>
          <w:lang w:eastAsia="en-GB"/>
        </w:rPr>
        <w:t>there are no quorum requirements and vote splitting is not permitted; </w:t>
      </w:r>
    </w:p>
    <w:p w14:paraId="56686E48"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at the end of the voting period, the Chairman shall count the votes as described in Clause 1.7.1;  </w:t>
      </w:r>
    </w:p>
    <w:p w14:paraId="7F5B9113"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the result of the vote should be disseminated to everybody on the TB membership list within fifteen (15) days.  </w:t>
      </w:r>
    </w:p>
    <w:p w14:paraId="76D98CB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12F7802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1.7.1.3 Voting for the election of a TB Chairman/Vice-Chairman and WG Chairman</w:t>
      </w:r>
      <w:r w:rsidRPr="003230DE">
        <w:rPr>
          <w:rFonts w:cs="Arial"/>
          <w:color w:val="000000"/>
          <w:lang w:eastAsia="en-GB"/>
        </w:rPr>
        <w:t> </w:t>
      </w:r>
    </w:p>
    <w:p w14:paraId="3BFD0D66"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 </w:t>
      </w:r>
      <w:r w:rsidRPr="003230DE">
        <w:rPr>
          <w:rFonts w:cs="Arial"/>
          <w:color w:val="000000"/>
          <w:lang w:eastAsia="en-GB"/>
        </w:rPr>
        <w:t> </w:t>
      </w:r>
    </w:p>
    <w:p w14:paraId="75F7CD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the purpose of electing any TB Chairman/Vice-Chairman and WG Chairman, the procedures given in Clauses 1.7.1, 1.7.1.1 and 1.7.1.2 shall apply.  </w:t>
      </w:r>
    </w:p>
    <w:p w14:paraId="3E9C6A4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where there is more than one (1) candidate, a secret ballot shall be used.  </w:t>
      </w:r>
    </w:p>
    <w:p w14:paraId="11A7176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523A189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TB Chairman shall be responsible for the voting process and shall ensure that confidentiality is maintained.  </w:t>
      </w:r>
    </w:p>
    <w:p w14:paraId="19CF60C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during a TB meeting, only the final result shall be recorded in the meeting report.  </w:t>
      </w:r>
    </w:p>
    <w:p w14:paraId="43C19EE5"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by correspondence, only the final result of the vote shall be disseminated. </w:t>
      </w:r>
    </w:p>
    <w:p w14:paraId="75F98BC8" w14:textId="77777777" w:rsidR="008169F8" w:rsidRDefault="008169F8" w:rsidP="008169F8"/>
    <w:p w14:paraId="07F2C3FA" w14:textId="77777777" w:rsidR="00B20171" w:rsidRPr="001822A1" w:rsidRDefault="00B20171" w:rsidP="00B20171">
      <w:pPr>
        <w:rPr>
          <w:sz w:val="24"/>
        </w:rPr>
      </w:pPr>
    </w:p>
    <w:p w14:paraId="07550605" w14:textId="77777777" w:rsidR="00B20171" w:rsidRPr="001822A1" w:rsidRDefault="00B20171" w:rsidP="00B20171">
      <w:pPr>
        <w:jc w:val="left"/>
        <w:rPr>
          <w:sz w:val="24"/>
        </w:rPr>
      </w:pPr>
      <w:r w:rsidRPr="001822A1">
        <w:rPr>
          <w:sz w:val="24"/>
        </w:rPr>
        <w:tab/>
      </w:r>
      <w:r w:rsidRPr="001822A1">
        <w:rPr>
          <w:sz w:val="24"/>
        </w:rPr>
        <w:tab/>
        <w:t>Yours faithfully,</w:t>
      </w:r>
    </w:p>
    <w:p w14:paraId="63D4AA22" w14:textId="77777777" w:rsidR="00B20171" w:rsidRPr="001822A1" w:rsidRDefault="00B20171" w:rsidP="00B20171">
      <w:pPr>
        <w:jc w:val="left"/>
        <w:rPr>
          <w:sz w:val="24"/>
        </w:rPr>
      </w:pPr>
      <w:r w:rsidRPr="001822A1">
        <w:rPr>
          <w:sz w:val="24"/>
        </w:rPr>
        <w:tab/>
      </w:r>
      <w:r w:rsidRPr="001822A1">
        <w:rPr>
          <w:sz w:val="24"/>
        </w:rPr>
        <w:tab/>
      </w:r>
    </w:p>
    <w:p w14:paraId="55455EDC" w14:textId="0A374540" w:rsidR="00B20171" w:rsidRPr="001822A1" w:rsidRDefault="00B20171" w:rsidP="00B20171">
      <w:pPr>
        <w:jc w:val="left"/>
        <w:rPr>
          <w:sz w:val="24"/>
        </w:rPr>
      </w:pPr>
      <w:r w:rsidRPr="001822A1">
        <w:rPr>
          <w:sz w:val="24"/>
        </w:rPr>
        <w:tab/>
      </w:r>
      <w:r w:rsidRPr="001822A1">
        <w:rPr>
          <w:sz w:val="24"/>
        </w:rPr>
        <w:tab/>
      </w:r>
      <w:bookmarkStart w:id="0" w:name="FullName"/>
      <w:bookmarkEnd w:id="0"/>
      <w:r w:rsidR="008169F8">
        <w:rPr>
          <w:sz w:val="24"/>
        </w:rPr>
        <w:t>Emmanuelle Chaulot-Talmon</w:t>
      </w:r>
    </w:p>
    <w:p w14:paraId="468DC1B7" w14:textId="571E0D85" w:rsidR="00256A00" w:rsidRPr="007257E1" w:rsidRDefault="00B20171" w:rsidP="007257E1">
      <w:pPr>
        <w:jc w:val="left"/>
        <w:rPr>
          <w:sz w:val="24"/>
        </w:rPr>
        <w:sectPr w:rsidR="00256A00" w:rsidRPr="007257E1" w:rsidSect="00F9127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03" w:right="1134" w:bottom="568" w:left="1134" w:header="568" w:footer="720" w:gutter="0"/>
          <w:cols w:space="720"/>
          <w:docGrid w:linePitch="326"/>
        </w:sectPr>
      </w:pPr>
      <w:r w:rsidRPr="001822A1">
        <w:rPr>
          <w:sz w:val="24"/>
        </w:rPr>
        <w:tab/>
      </w:r>
      <w:r w:rsidRPr="001822A1">
        <w:rPr>
          <w:sz w:val="24"/>
        </w:rPr>
        <w:tab/>
      </w:r>
      <w:bookmarkStart w:id="1" w:name="Position"/>
      <w:bookmarkEnd w:id="1"/>
      <w:r w:rsidR="00A514CE">
        <w:rPr>
          <w:sz w:val="24"/>
        </w:rPr>
        <w:t>MTS</w:t>
      </w:r>
      <w:r w:rsidRPr="001822A1">
        <w:rPr>
          <w:sz w:val="24"/>
        </w:rPr>
        <w:t xml:space="preserve"> </w:t>
      </w:r>
      <w:r w:rsidR="008169F8">
        <w:rPr>
          <w:sz w:val="24"/>
        </w:rPr>
        <w:t>Support</w:t>
      </w:r>
      <w:r w:rsidR="002F3FAB">
        <w:rPr>
          <w:sz w:val="24"/>
        </w:rPr>
        <w:t xml:space="preserve"> Office</w:t>
      </w:r>
    </w:p>
    <w:p w14:paraId="5F8A0E5C" w14:textId="1ABB81C7" w:rsidR="00A8731B" w:rsidRDefault="00A8731B" w:rsidP="00BF6752">
      <w:pPr>
        <w:rPr>
          <w:rFonts w:cs="Arial"/>
          <w:lang w:eastAsia="en-GB"/>
        </w:rPr>
      </w:pPr>
    </w:p>
    <w:sectPr w:rsidR="00A8731B" w:rsidSect="00F91274">
      <w:headerReference w:type="first" r:id="rId20"/>
      <w:footerReference w:type="first" r:id="rId21"/>
      <w:pgSz w:w="11907" w:h="16840" w:code="9"/>
      <w:pgMar w:top="1153" w:right="1134" w:bottom="567" w:left="1134" w:header="568" w:footer="11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5F86" w14:textId="77777777" w:rsidR="009912F3" w:rsidRDefault="009912F3">
      <w:r>
        <w:separator/>
      </w:r>
    </w:p>
  </w:endnote>
  <w:endnote w:type="continuationSeparator" w:id="0">
    <w:p w14:paraId="5F281AC0" w14:textId="77777777" w:rsidR="009912F3" w:rsidRDefault="009912F3">
      <w:r>
        <w:continuationSeparator/>
      </w:r>
    </w:p>
  </w:endnote>
  <w:endnote w:type="continuationNotice" w:id="1">
    <w:p w14:paraId="636467A8" w14:textId="77777777" w:rsidR="009912F3" w:rsidRDefault="0099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58EF" w14:textId="77777777" w:rsidR="00F51F64" w:rsidRDefault="00F5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A7DA" w14:textId="77777777" w:rsidR="00B7542D" w:rsidRDefault="00B7542D" w:rsidP="00256A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760" w14:textId="77777777" w:rsidR="00B7542D" w:rsidRDefault="00B7542D">
    <w:pPr>
      <w:pStyle w:val="Footer"/>
      <w:spacing w:line="240"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340F" w14:textId="77777777" w:rsidR="00B7542D" w:rsidRDefault="00B7542D">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45E8" w14:textId="77777777" w:rsidR="009912F3" w:rsidRDefault="009912F3">
      <w:r>
        <w:separator/>
      </w:r>
    </w:p>
  </w:footnote>
  <w:footnote w:type="continuationSeparator" w:id="0">
    <w:p w14:paraId="063BF734" w14:textId="77777777" w:rsidR="009912F3" w:rsidRDefault="009912F3">
      <w:r>
        <w:continuationSeparator/>
      </w:r>
    </w:p>
  </w:footnote>
  <w:footnote w:type="continuationNotice" w:id="1">
    <w:p w14:paraId="6D4F383C" w14:textId="77777777" w:rsidR="009912F3" w:rsidRDefault="00991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6782" w14:textId="77777777" w:rsidR="00F51F64" w:rsidRDefault="00F51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1A" w14:textId="2E982F30" w:rsidR="00B7542D" w:rsidRPr="001148A8" w:rsidRDefault="00B7542D" w:rsidP="001148A8">
    <w:pPr>
      <w:tabs>
        <w:tab w:val="clear" w:pos="1418"/>
        <w:tab w:val="clear" w:pos="4678"/>
        <w:tab w:val="clear" w:pos="5954"/>
        <w:tab w:val="clear" w:pos="7088"/>
      </w:tabs>
      <w:ind w:left="-323"/>
      <w:jc w:val="right"/>
      <w:rPr>
        <w:sz w:val="16"/>
      </w:rPr>
    </w:pPr>
    <w:r w:rsidRPr="006C388D">
      <w:rPr>
        <w:rFonts w:ascii="Calibri" w:hAnsi="Calibri"/>
        <w:noProof/>
        <w:sz w:val="22"/>
        <w:szCs w:val="22"/>
        <w:lang w:val="de-DE" w:eastAsia="de-DE"/>
      </w:rPr>
      <w:drawing>
        <wp:anchor distT="0" distB="0" distL="114300" distR="114300" simplePos="0" relativeHeight="251658240" behindDoc="1" locked="0" layoutInCell="1" allowOverlap="1" wp14:anchorId="19ADE263" wp14:editId="3ED2B5A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F26C22" w:rsidRPr="00F26C22">
      <w:rPr>
        <w:rFonts w:cs="Arial"/>
        <w:b/>
        <w:bCs/>
        <w:color w:val="000000"/>
        <w:sz w:val="27"/>
        <w:szCs w:val="27"/>
        <w:shd w:val="clear" w:color="auto" w:fill="FFFFFF"/>
      </w:rPr>
      <w:t xml:space="preserve"> </w:t>
    </w:r>
    <w:r w:rsidR="00F26C22">
      <w:rPr>
        <w:rFonts w:cs="Arial"/>
        <w:b/>
        <w:bCs/>
        <w:color w:val="000000"/>
        <w:sz w:val="27"/>
        <w:szCs w:val="27"/>
        <w:shd w:val="clear" w:color="auto" w:fill="FFFFFF"/>
      </w:rPr>
      <w:t>MTS(2</w:t>
    </w:r>
    <w:r w:rsidR="007257E1">
      <w:rPr>
        <w:rFonts w:cs="Arial"/>
        <w:b/>
        <w:bCs/>
        <w:color w:val="000000"/>
        <w:sz w:val="27"/>
        <w:szCs w:val="27"/>
        <w:shd w:val="clear" w:color="auto" w:fill="FFFFFF"/>
      </w:rPr>
      <w:t>3</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00</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3</w:t>
    </w:r>
    <w:r w:rsidR="00F51F64">
      <w:rPr>
        <w:rFonts w:cs="Arial"/>
        <w:b/>
        <w:bCs/>
        <w:color w:val="000000"/>
        <w:sz w:val="27"/>
        <w:szCs w:val="27"/>
        <w:shd w:val="clear" w:color="auto" w:fill="FFFFFF"/>
      </w:rPr>
      <w:t>3</w:t>
    </w:r>
    <w:r w:rsidR="00F26C22">
      <w:rPr>
        <w:rFonts w:cs="Arial"/>
        <w:b/>
        <w:color w:val="0000FF"/>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42B" w14:textId="4A6764A4" w:rsidR="00B7542D" w:rsidRDefault="00B7542D"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val="de-DE" w:eastAsia="de-DE"/>
      </w:rPr>
      <w:drawing>
        <wp:anchor distT="0" distB="0" distL="114300" distR="114300" simplePos="0" relativeHeight="251656192"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cs="Arial"/>
        <w:b/>
        <w:sz w:val="36"/>
        <w:szCs w:val="36"/>
      </w:rPr>
      <w:t>NFV(17)000</w:t>
    </w:r>
    <w:r>
      <w:rPr>
        <w:rFonts w:cs="Arial"/>
        <w:b/>
        <w:color w:val="0000FF"/>
        <w:sz w:val="36"/>
        <w:szCs w:val="36"/>
      </w:rPr>
      <w:t>05</w:t>
    </w:r>
    <w:r>
      <w:rPr>
        <w:rFonts w:cs="Arial"/>
        <w:b/>
        <w:color w:val="0000FF"/>
        <w:sz w:val="36"/>
        <w:szCs w:val="3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9E3" w14:textId="55464668" w:rsidR="00B7542D" w:rsidRPr="001148A8" w:rsidRDefault="00B7542D" w:rsidP="009A6880">
    <w:pPr>
      <w:tabs>
        <w:tab w:val="clear" w:pos="1418"/>
        <w:tab w:val="clear" w:pos="4678"/>
        <w:tab w:val="clear" w:pos="5954"/>
        <w:tab w:val="clear" w:pos="7088"/>
        <w:tab w:val="center" w:pos="4820"/>
        <w:tab w:val="right" w:pos="9923"/>
      </w:tabs>
      <w:ind w:right="-284"/>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5pt;height:32.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BC0"/>
    <w:multiLevelType w:val="hybridMultilevel"/>
    <w:tmpl w:val="62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418A7"/>
    <w:multiLevelType w:val="hybridMultilevel"/>
    <w:tmpl w:val="A024EF72"/>
    <w:lvl w:ilvl="0" w:tplc="D1E61DB8">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31144"/>
    <w:multiLevelType w:val="hybridMultilevel"/>
    <w:tmpl w:val="5F02539A"/>
    <w:lvl w:ilvl="0" w:tplc="A3962A78">
      <w:numFmt w:val="bullet"/>
      <w:lvlText w:val="-"/>
      <w:lvlJc w:val="left"/>
      <w:pPr>
        <w:ind w:left="1569" w:hanging="360"/>
      </w:pPr>
      <w:rPr>
        <w:rFonts w:ascii="Calibri" w:eastAsia="Calibri" w:hAnsi="Calibri" w:cs="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5"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6" w15:restartNumberingAfterBreak="0">
    <w:nsid w:val="3EA747D1"/>
    <w:multiLevelType w:val="hybridMultilevel"/>
    <w:tmpl w:val="B3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919456">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16cid:durableId="2060398808">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16cid:durableId="1217469687">
    <w:abstractNumId w:val="10"/>
  </w:num>
  <w:num w:numId="4" w16cid:durableId="946498395">
    <w:abstractNumId w:val="3"/>
  </w:num>
  <w:num w:numId="5" w16cid:durableId="348217550">
    <w:abstractNumId w:val="4"/>
  </w:num>
  <w:num w:numId="6" w16cid:durableId="884953347">
    <w:abstractNumId w:val="2"/>
  </w:num>
  <w:num w:numId="7" w16cid:durableId="1396666708">
    <w:abstractNumId w:val="1"/>
  </w:num>
  <w:num w:numId="8" w16cid:durableId="464157771">
    <w:abstractNumId w:val="19"/>
  </w:num>
  <w:num w:numId="9" w16cid:durableId="1594775865">
    <w:abstractNumId w:val="13"/>
  </w:num>
  <w:num w:numId="10" w16cid:durableId="1185485505">
    <w:abstractNumId w:val="25"/>
  </w:num>
  <w:num w:numId="11" w16cid:durableId="34236911">
    <w:abstractNumId w:val="8"/>
  </w:num>
  <w:num w:numId="12" w16cid:durableId="646054023">
    <w:abstractNumId w:val="9"/>
  </w:num>
  <w:num w:numId="13" w16cid:durableId="949508446">
    <w:abstractNumId w:val="17"/>
  </w:num>
  <w:num w:numId="14" w16cid:durableId="1738045669">
    <w:abstractNumId w:val="22"/>
  </w:num>
  <w:num w:numId="15" w16cid:durableId="968435565">
    <w:abstractNumId w:val="11"/>
  </w:num>
  <w:num w:numId="16" w16cid:durableId="1059206957">
    <w:abstractNumId w:val="15"/>
  </w:num>
  <w:num w:numId="17" w16cid:durableId="1600942907">
    <w:abstractNumId w:val="21"/>
  </w:num>
  <w:num w:numId="18" w16cid:durableId="698511988">
    <w:abstractNumId w:val="5"/>
  </w:num>
  <w:num w:numId="19" w16cid:durableId="345981857">
    <w:abstractNumId w:val="20"/>
  </w:num>
  <w:num w:numId="20" w16cid:durableId="2023818325">
    <w:abstractNumId w:val="12"/>
  </w:num>
  <w:num w:numId="21" w16cid:durableId="1268581369">
    <w:abstractNumId w:val="18"/>
  </w:num>
  <w:num w:numId="22" w16cid:durableId="1730612026">
    <w:abstractNumId w:val="24"/>
  </w:num>
  <w:num w:numId="23" w16cid:durableId="52853782">
    <w:abstractNumId w:val="23"/>
  </w:num>
  <w:num w:numId="24" w16cid:durableId="1578586962">
    <w:abstractNumId w:val="6"/>
  </w:num>
  <w:num w:numId="25" w16cid:durableId="357702291">
    <w:abstractNumId w:val="14"/>
  </w:num>
  <w:num w:numId="26" w16cid:durableId="1891914034">
    <w:abstractNumId w:val="16"/>
  </w:num>
  <w:num w:numId="27" w16cid:durableId="1949267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3107"/>
    <w:rsid w:val="00003954"/>
    <w:rsid w:val="000074B2"/>
    <w:rsid w:val="000214D6"/>
    <w:rsid w:val="00023E4A"/>
    <w:rsid w:val="00030FF7"/>
    <w:rsid w:val="0004270A"/>
    <w:rsid w:val="000427DD"/>
    <w:rsid w:val="00053CF0"/>
    <w:rsid w:val="00062411"/>
    <w:rsid w:val="00066E1B"/>
    <w:rsid w:val="000728C3"/>
    <w:rsid w:val="000729E0"/>
    <w:rsid w:val="000740DF"/>
    <w:rsid w:val="00091003"/>
    <w:rsid w:val="00095C5B"/>
    <w:rsid w:val="000A2323"/>
    <w:rsid w:val="000A5890"/>
    <w:rsid w:val="000A77EE"/>
    <w:rsid w:val="000B29D1"/>
    <w:rsid w:val="000C2235"/>
    <w:rsid w:val="000D36CD"/>
    <w:rsid w:val="000D3865"/>
    <w:rsid w:val="000D5FB9"/>
    <w:rsid w:val="000E4B38"/>
    <w:rsid w:val="000E7200"/>
    <w:rsid w:val="000F1766"/>
    <w:rsid w:val="000F1B4E"/>
    <w:rsid w:val="000F28A6"/>
    <w:rsid w:val="000F7B10"/>
    <w:rsid w:val="00104971"/>
    <w:rsid w:val="0011353E"/>
    <w:rsid w:val="001148A8"/>
    <w:rsid w:val="00115217"/>
    <w:rsid w:val="00115DF8"/>
    <w:rsid w:val="00131155"/>
    <w:rsid w:val="0013795B"/>
    <w:rsid w:val="00141F9F"/>
    <w:rsid w:val="00145004"/>
    <w:rsid w:val="001508CD"/>
    <w:rsid w:val="00151F33"/>
    <w:rsid w:val="00157E37"/>
    <w:rsid w:val="00157EE5"/>
    <w:rsid w:val="00166163"/>
    <w:rsid w:val="00181E7E"/>
    <w:rsid w:val="001822A1"/>
    <w:rsid w:val="00182D43"/>
    <w:rsid w:val="001C5826"/>
    <w:rsid w:val="001C719B"/>
    <w:rsid w:val="001D033A"/>
    <w:rsid w:val="001D625F"/>
    <w:rsid w:val="001D6564"/>
    <w:rsid w:val="001D6EB1"/>
    <w:rsid w:val="001E3AFA"/>
    <w:rsid w:val="00211212"/>
    <w:rsid w:val="00216C1C"/>
    <w:rsid w:val="002246CE"/>
    <w:rsid w:val="0022532C"/>
    <w:rsid w:val="00226AB3"/>
    <w:rsid w:val="00227E28"/>
    <w:rsid w:val="0023288A"/>
    <w:rsid w:val="00242934"/>
    <w:rsid w:val="00253417"/>
    <w:rsid w:val="00254E9A"/>
    <w:rsid w:val="00256A00"/>
    <w:rsid w:val="00257CD4"/>
    <w:rsid w:val="002608CF"/>
    <w:rsid w:val="00264471"/>
    <w:rsid w:val="0027036D"/>
    <w:rsid w:val="00273C9F"/>
    <w:rsid w:val="002932A1"/>
    <w:rsid w:val="002A2AB1"/>
    <w:rsid w:val="002A32C5"/>
    <w:rsid w:val="002A7FA7"/>
    <w:rsid w:val="002C3A51"/>
    <w:rsid w:val="002D4369"/>
    <w:rsid w:val="002D4AFB"/>
    <w:rsid w:val="002D59EC"/>
    <w:rsid w:val="002D7E09"/>
    <w:rsid w:val="002F368E"/>
    <w:rsid w:val="002F3F3B"/>
    <w:rsid w:val="002F3FAB"/>
    <w:rsid w:val="00312402"/>
    <w:rsid w:val="003137B4"/>
    <w:rsid w:val="003137B8"/>
    <w:rsid w:val="00315FF8"/>
    <w:rsid w:val="00326388"/>
    <w:rsid w:val="0032650D"/>
    <w:rsid w:val="003311A2"/>
    <w:rsid w:val="003353B9"/>
    <w:rsid w:val="00345010"/>
    <w:rsid w:val="00346FCC"/>
    <w:rsid w:val="00350E82"/>
    <w:rsid w:val="00352A2D"/>
    <w:rsid w:val="00354CAC"/>
    <w:rsid w:val="00362838"/>
    <w:rsid w:val="00362CC8"/>
    <w:rsid w:val="00364218"/>
    <w:rsid w:val="00366552"/>
    <w:rsid w:val="00374BC0"/>
    <w:rsid w:val="00375113"/>
    <w:rsid w:val="00376B70"/>
    <w:rsid w:val="003A4135"/>
    <w:rsid w:val="003A5F00"/>
    <w:rsid w:val="003B1F8E"/>
    <w:rsid w:val="003D23BC"/>
    <w:rsid w:val="003D2B6C"/>
    <w:rsid w:val="003D37D5"/>
    <w:rsid w:val="003E43A2"/>
    <w:rsid w:val="003E78D7"/>
    <w:rsid w:val="003F00F6"/>
    <w:rsid w:val="003F056A"/>
    <w:rsid w:val="003F555F"/>
    <w:rsid w:val="0040200E"/>
    <w:rsid w:val="00405359"/>
    <w:rsid w:val="004108C4"/>
    <w:rsid w:val="00422CFA"/>
    <w:rsid w:val="004231E2"/>
    <w:rsid w:val="0043035A"/>
    <w:rsid w:val="004304A4"/>
    <w:rsid w:val="004308BE"/>
    <w:rsid w:val="0045168E"/>
    <w:rsid w:val="00472ADC"/>
    <w:rsid w:val="00483601"/>
    <w:rsid w:val="004946AE"/>
    <w:rsid w:val="00496993"/>
    <w:rsid w:val="004B407A"/>
    <w:rsid w:val="004B6558"/>
    <w:rsid w:val="004B7377"/>
    <w:rsid w:val="004B79D0"/>
    <w:rsid w:val="004C19D7"/>
    <w:rsid w:val="004C6C1A"/>
    <w:rsid w:val="004D2342"/>
    <w:rsid w:val="004D4D17"/>
    <w:rsid w:val="004D5B72"/>
    <w:rsid w:val="004E33DC"/>
    <w:rsid w:val="004E5C5A"/>
    <w:rsid w:val="004E660D"/>
    <w:rsid w:val="004F2392"/>
    <w:rsid w:val="005018E9"/>
    <w:rsid w:val="00511AF5"/>
    <w:rsid w:val="00514611"/>
    <w:rsid w:val="0051634C"/>
    <w:rsid w:val="00535C19"/>
    <w:rsid w:val="00544B86"/>
    <w:rsid w:val="00546EEE"/>
    <w:rsid w:val="0055789F"/>
    <w:rsid w:val="00562D22"/>
    <w:rsid w:val="00574C63"/>
    <w:rsid w:val="005808C7"/>
    <w:rsid w:val="00581F14"/>
    <w:rsid w:val="0058255B"/>
    <w:rsid w:val="0059111E"/>
    <w:rsid w:val="00591951"/>
    <w:rsid w:val="00591B8D"/>
    <w:rsid w:val="005A155E"/>
    <w:rsid w:val="005A3AD4"/>
    <w:rsid w:val="005B407B"/>
    <w:rsid w:val="005B4E65"/>
    <w:rsid w:val="005B588F"/>
    <w:rsid w:val="005C2930"/>
    <w:rsid w:val="005C363A"/>
    <w:rsid w:val="005C4144"/>
    <w:rsid w:val="005C6071"/>
    <w:rsid w:val="005E086D"/>
    <w:rsid w:val="005E7D68"/>
    <w:rsid w:val="00607112"/>
    <w:rsid w:val="0061328D"/>
    <w:rsid w:val="00616F1D"/>
    <w:rsid w:val="00622B0B"/>
    <w:rsid w:val="006324A0"/>
    <w:rsid w:val="00632EDA"/>
    <w:rsid w:val="006350AB"/>
    <w:rsid w:val="00637CF2"/>
    <w:rsid w:val="0064075F"/>
    <w:rsid w:val="006418CA"/>
    <w:rsid w:val="00646726"/>
    <w:rsid w:val="00655500"/>
    <w:rsid w:val="00667965"/>
    <w:rsid w:val="006702EE"/>
    <w:rsid w:val="0067242A"/>
    <w:rsid w:val="00676483"/>
    <w:rsid w:val="00681888"/>
    <w:rsid w:val="00690560"/>
    <w:rsid w:val="00691F53"/>
    <w:rsid w:val="00692132"/>
    <w:rsid w:val="006A0637"/>
    <w:rsid w:val="006A1683"/>
    <w:rsid w:val="006B41AD"/>
    <w:rsid w:val="006B46EA"/>
    <w:rsid w:val="006B5242"/>
    <w:rsid w:val="006C388D"/>
    <w:rsid w:val="006E5C9B"/>
    <w:rsid w:val="006E72A3"/>
    <w:rsid w:val="006F5C16"/>
    <w:rsid w:val="007225B1"/>
    <w:rsid w:val="007257E1"/>
    <w:rsid w:val="007370B0"/>
    <w:rsid w:val="0074062E"/>
    <w:rsid w:val="00753A48"/>
    <w:rsid w:val="00757F12"/>
    <w:rsid w:val="007728A1"/>
    <w:rsid w:val="007808B1"/>
    <w:rsid w:val="007838D1"/>
    <w:rsid w:val="00796F75"/>
    <w:rsid w:val="007A6787"/>
    <w:rsid w:val="007A6BF5"/>
    <w:rsid w:val="007B6EB6"/>
    <w:rsid w:val="007C799D"/>
    <w:rsid w:val="007E3DCC"/>
    <w:rsid w:val="007E6ACD"/>
    <w:rsid w:val="007F7690"/>
    <w:rsid w:val="008010A9"/>
    <w:rsid w:val="008169F8"/>
    <w:rsid w:val="00825872"/>
    <w:rsid w:val="008260FA"/>
    <w:rsid w:val="008404E3"/>
    <w:rsid w:val="00845160"/>
    <w:rsid w:val="008673AD"/>
    <w:rsid w:val="00874B13"/>
    <w:rsid w:val="00877EDD"/>
    <w:rsid w:val="00880085"/>
    <w:rsid w:val="0088243D"/>
    <w:rsid w:val="00892A48"/>
    <w:rsid w:val="00893979"/>
    <w:rsid w:val="00894BCE"/>
    <w:rsid w:val="008B446F"/>
    <w:rsid w:val="008B770D"/>
    <w:rsid w:val="008C26D4"/>
    <w:rsid w:val="008C52D4"/>
    <w:rsid w:val="008E6D29"/>
    <w:rsid w:val="008E7400"/>
    <w:rsid w:val="008F38F1"/>
    <w:rsid w:val="00904272"/>
    <w:rsid w:val="009109A9"/>
    <w:rsid w:val="00911E02"/>
    <w:rsid w:val="009172BE"/>
    <w:rsid w:val="00930187"/>
    <w:rsid w:val="00935FD9"/>
    <w:rsid w:val="009429DA"/>
    <w:rsid w:val="00944552"/>
    <w:rsid w:val="00946AB0"/>
    <w:rsid w:val="0097084A"/>
    <w:rsid w:val="00970C76"/>
    <w:rsid w:val="00976CAC"/>
    <w:rsid w:val="00984549"/>
    <w:rsid w:val="009912F3"/>
    <w:rsid w:val="0099170E"/>
    <w:rsid w:val="00992154"/>
    <w:rsid w:val="00993B6F"/>
    <w:rsid w:val="00995105"/>
    <w:rsid w:val="009956E2"/>
    <w:rsid w:val="00995D16"/>
    <w:rsid w:val="009975B7"/>
    <w:rsid w:val="00997D69"/>
    <w:rsid w:val="009A6880"/>
    <w:rsid w:val="009A6F76"/>
    <w:rsid w:val="009B026F"/>
    <w:rsid w:val="009B1C98"/>
    <w:rsid w:val="009B4983"/>
    <w:rsid w:val="009C1540"/>
    <w:rsid w:val="009D44E2"/>
    <w:rsid w:val="009D49D6"/>
    <w:rsid w:val="009E6175"/>
    <w:rsid w:val="009F1172"/>
    <w:rsid w:val="00A12B41"/>
    <w:rsid w:val="00A217A6"/>
    <w:rsid w:val="00A22EF7"/>
    <w:rsid w:val="00A24577"/>
    <w:rsid w:val="00A5032E"/>
    <w:rsid w:val="00A514CE"/>
    <w:rsid w:val="00A54FB9"/>
    <w:rsid w:val="00A57482"/>
    <w:rsid w:val="00A577A3"/>
    <w:rsid w:val="00A60235"/>
    <w:rsid w:val="00A60F9F"/>
    <w:rsid w:val="00A6451B"/>
    <w:rsid w:val="00A6751A"/>
    <w:rsid w:val="00A76223"/>
    <w:rsid w:val="00A8731B"/>
    <w:rsid w:val="00A875E7"/>
    <w:rsid w:val="00A90B44"/>
    <w:rsid w:val="00A926D1"/>
    <w:rsid w:val="00A92A4B"/>
    <w:rsid w:val="00A93D6B"/>
    <w:rsid w:val="00AA24D2"/>
    <w:rsid w:val="00AA3A88"/>
    <w:rsid w:val="00AA689F"/>
    <w:rsid w:val="00AC3844"/>
    <w:rsid w:val="00AD2543"/>
    <w:rsid w:val="00AD47F8"/>
    <w:rsid w:val="00AE0FF6"/>
    <w:rsid w:val="00AE6C1C"/>
    <w:rsid w:val="00AF3BE5"/>
    <w:rsid w:val="00B003EB"/>
    <w:rsid w:val="00B02A5D"/>
    <w:rsid w:val="00B02C45"/>
    <w:rsid w:val="00B13322"/>
    <w:rsid w:val="00B20171"/>
    <w:rsid w:val="00B27402"/>
    <w:rsid w:val="00B3525F"/>
    <w:rsid w:val="00B401D8"/>
    <w:rsid w:val="00B44B9A"/>
    <w:rsid w:val="00B461A3"/>
    <w:rsid w:val="00B4722D"/>
    <w:rsid w:val="00B5529B"/>
    <w:rsid w:val="00B57CE1"/>
    <w:rsid w:val="00B62B35"/>
    <w:rsid w:val="00B7542D"/>
    <w:rsid w:val="00B77916"/>
    <w:rsid w:val="00B87484"/>
    <w:rsid w:val="00B97DD4"/>
    <w:rsid w:val="00BA14BD"/>
    <w:rsid w:val="00BA5617"/>
    <w:rsid w:val="00BA7635"/>
    <w:rsid w:val="00BA7A94"/>
    <w:rsid w:val="00BA7D91"/>
    <w:rsid w:val="00BB11AC"/>
    <w:rsid w:val="00BB2678"/>
    <w:rsid w:val="00BB7C87"/>
    <w:rsid w:val="00BC2AFC"/>
    <w:rsid w:val="00BC54FC"/>
    <w:rsid w:val="00BE171A"/>
    <w:rsid w:val="00BE4387"/>
    <w:rsid w:val="00BE75D6"/>
    <w:rsid w:val="00BF070B"/>
    <w:rsid w:val="00BF3C76"/>
    <w:rsid w:val="00BF3F50"/>
    <w:rsid w:val="00BF6752"/>
    <w:rsid w:val="00C140B3"/>
    <w:rsid w:val="00C14401"/>
    <w:rsid w:val="00C21BC3"/>
    <w:rsid w:val="00C243F4"/>
    <w:rsid w:val="00C26CCA"/>
    <w:rsid w:val="00C40F36"/>
    <w:rsid w:val="00C43A45"/>
    <w:rsid w:val="00C56D38"/>
    <w:rsid w:val="00C64917"/>
    <w:rsid w:val="00C8116C"/>
    <w:rsid w:val="00C81741"/>
    <w:rsid w:val="00C81C8D"/>
    <w:rsid w:val="00C81FCA"/>
    <w:rsid w:val="00C865A3"/>
    <w:rsid w:val="00C91DF5"/>
    <w:rsid w:val="00C93557"/>
    <w:rsid w:val="00C93B4F"/>
    <w:rsid w:val="00CA4883"/>
    <w:rsid w:val="00CB4F01"/>
    <w:rsid w:val="00CB51DD"/>
    <w:rsid w:val="00CB77B4"/>
    <w:rsid w:val="00CC2ABD"/>
    <w:rsid w:val="00CE6487"/>
    <w:rsid w:val="00CF5CEA"/>
    <w:rsid w:val="00CF765D"/>
    <w:rsid w:val="00D01FA9"/>
    <w:rsid w:val="00D02F82"/>
    <w:rsid w:val="00D05F2D"/>
    <w:rsid w:val="00D06C38"/>
    <w:rsid w:val="00D16120"/>
    <w:rsid w:val="00D21571"/>
    <w:rsid w:val="00D21DFA"/>
    <w:rsid w:val="00D27143"/>
    <w:rsid w:val="00D30BF6"/>
    <w:rsid w:val="00D32A71"/>
    <w:rsid w:val="00D37540"/>
    <w:rsid w:val="00D43BCC"/>
    <w:rsid w:val="00D45F76"/>
    <w:rsid w:val="00D514CF"/>
    <w:rsid w:val="00D53901"/>
    <w:rsid w:val="00D5600D"/>
    <w:rsid w:val="00D6045F"/>
    <w:rsid w:val="00D6347D"/>
    <w:rsid w:val="00D65F62"/>
    <w:rsid w:val="00D732DF"/>
    <w:rsid w:val="00D73EA8"/>
    <w:rsid w:val="00D7675C"/>
    <w:rsid w:val="00D854D8"/>
    <w:rsid w:val="00D907BD"/>
    <w:rsid w:val="00D9348F"/>
    <w:rsid w:val="00DB55C0"/>
    <w:rsid w:val="00DC32F1"/>
    <w:rsid w:val="00DC62EB"/>
    <w:rsid w:val="00DC6AA1"/>
    <w:rsid w:val="00DC6C93"/>
    <w:rsid w:val="00DE7172"/>
    <w:rsid w:val="00E171C2"/>
    <w:rsid w:val="00E20368"/>
    <w:rsid w:val="00E21826"/>
    <w:rsid w:val="00E25C6E"/>
    <w:rsid w:val="00E307FF"/>
    <w:rsid w:val="00E34D81"/>
    <w:rsid w:val="00E37403"/>
    <w:rsid w:val="00E51498"/>
    <w:rsid w:val="00E601D6"/>
    <w:rsid w:val="00E614E8"/>
    <w:rsid w:val="00E6502F"/>
    <w:rsid w:val="00E6654B"/>
    <w:rsid w:val="00E6752C"/>
    <w:rsid w:val="00E71AC7"/>
    <w:rsid w:val="00E74459"/>
    <w:rsid w:val="00E7667B"/>
    <w:rsid w:val="00E91D86"/>
    <w:rsid w:val="00E928E7"/>
    <w:rsid w:val="00E9329C"/>
    <w:rsid w:val="00E95117"/>
    <w:rsid w:val="00E97B71"/>
    <w:rsid w:val="00EA171A"/>
    <w:rsid w:val="00EA3B71"/>
    <w:rsid w:val="00EC1B43"/>
    <w:rsid w:val="00EC1D6E"/>
    <w:rsid w:val="00ED0D65"/>
    <w:rsid w:val="00ED48F5"/>
    <w:rsid w:val="00ED7CB9"/>
    <w:rsid w:val="00EE1855"/>
    <w:rsid w:val="00EE55EE"/>
    <w:rsid w:val="00EF7E7E"/>
    <w:rsid w:val="00F0060A"/>
    <w:rsid w:val="00F016FE"/>
    <w:rsid w:val="00F021D2"/>
    <w:rsid w:val="00F034D2"/>
    <w:rsid w:val="00F070E8"/>
    <w:rsid w:val="00F20DAF"/>
    <w:rsid w:val="00F22CAF"/>
    <w:rsid w:val="00F26C22"/>
    <w:rsid w:val="00F34148"/>
    <w:rsid w:val="00F439C1"/>
    <w:rsid w:val="00F47C3F"/>
    <w:rsid w:val="00F51C47"/>
    <w:rsid w:val="00F51F64"/>
    <w:rsid w:val="00F5521E"/>
    <w:rsid w:val="00F64C09"/>
    <w:rsid w:val="00F67A67"/>
    <w:rsid w:val="00F71DE0"/>
    <w:rsid w:val="00F732EA"/>
    <w:rsid w:val="00F74309"/>
    <w:rsid w:val="00F838B3"/>
    <w:rsid w:val="00F85C47"/>
    <w:rsid w:val="00F86086"/>
    <w:rsid w:val="00F91274"/>
    <w:rsid w:val="00F967D4"/>
    <w:rsid w:val="00FA51D1"/>
    <w:rsid w:val="00FA5E1A"/>
    <w:rsid w:val="00FA7A5A"/>
    <w:rsid w:val="00FB25CB"/>
    <w:rsid w:val="00FB405C"/>
    <w:rsid w:val="00FC41AF"/>
    <w:rsid w:val="00FD7E89"/>
    <w:rsid w:val="00FE7E86"/>
    <w:rsid w:val="00FF2FCE"/>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46AD"/>
  <w15:chartTrackingRefBased/>
  <w15:docId w15:val="{7A5D97E6-5751-4EF4-8CA0-5C2AD0F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1,H1,section head,h1"/>
    <w:next w:val="Normal"/>
    <w:link w:val="Heading1Char"/>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aliases w:val="OS2,alt+2,2H,2h,2,h2,H2,subhead 1,heading 2,2H1,2H2,2H11,2nd level,Title2,ariad2-heading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aliases w:val="Title3,H3,0H,0H1,0H2,0H11,0h,3h,3H,heading 3 + Indent: Left 0.25 in,ariad2-heading3,Heading 31,3,h3,PA Minor Section,Section header,l3,TF-Overskrift 3,DE Title 3,HVR 3,Paspastyle 3,Headline 3,h31,h32,H31"/>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Heading7">
    <w:name w:val="heading 7"/>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basedOn w:val="DefaultParagraphFont"/>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BodyText">
    <w:name w:val="Body Text"/>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BodyText2">
    <w:name w:val="Body Text 2"/>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DefaultParagraphFont"/>
    <w:link w:val="ZT"/>
    <w:rsid w:val="00A92A4B"/>
    <w:rPr>
      <w:rFonts w:ascii="Arial" w:hAnsi="Arial"/>
      <w:b/>
      <w:sz w:val="32"/>
      <w:lang w:val="en-GB" w:eastAsia="en-US" w:bidi="ar-SA"/>
    </w:rPr>
  </w:style>
  <w:style w:type="paragraph" w:styleId="Title">
    <w:name w:val="Title"/>
    <w:basedOn w:val="Normal"/>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DefaultParagraphFont"/>
    <w:link w:val="B1"/>
    <w:rsid w:val="0058255B"/>
    <w:rPr>
      <w:rFonts w:ascii="Arial" w:hAnsi="Arial"/>
      <w:lang w:val="en-GB" w:eastAsia="en-US" w:bidi="ar-SA"/>
    </w:rPr>
  </w:style>
  <w:style w:type="character" w:styleId="PageNumber">
    <w:name w:val="page number"/>
    <w:basedOn w:val="DefaultParagraphFont"/>
    <w:rsid w:val="0058255B"/>
  </w:style>
  <w:style w:type="table" w:styleId="TableGrid">
    <w:name w:val="Table Grid"/>
    <w:basedOn w:val="TableNormal"/>
    <w:uiPriority w:val="59"/>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0427DD"/>
    <w:pPr>
      <w:jc w:val="right"/>
    </w:pPr>
  </w:style>
  <w:style w:type="character" w:customStyle="1" w:styleId="Heading1Char">
    <w:name w:val="Heading 1 Char"/>
    <w:aliases w:val="1 Char,H1 Char,section head Char,h1 Char"/>
    <w:basedOn w:val="DefaultParagraphFont"/>
    <w:link w:val="Heading1"/>
    <w:rsid w:val="00B20171"/>
    <w:rPr>
      <w:rFonts w:ascii="Arial" w:hAnsi="Arial"/>
      <w:b/>
      <w:sz w:val="24"/>
      <w:lang w:val="en-GB" w:eastAsia="en-US" w:bidi="ar-SA"/>
    </w:rPr>
  </w:style>
  <w:style w:type="paragraph" w:customStyle="1" w:styleId="Heading2F12">
    <w:name w:val="Heading 2 F12"/>
    <w:basedOn w:val="Heading2"/>
    <w:qFormat/>
    <w:rsid w:val="00D732DF"/>
    <w:rPr>
      <w:sz w:val="24"/>
    </w:rPr>
  </w:style>
  <w:style w:type="paragraph" w:styleId="BalloonText">
    <w:name w:val="Balloon Text"/>
    <w:basedOn w:val="Normal"/>
    <w:link w:val="BalloonTextChar"/>
    <w:rsid w:val="005C4144"/>
    <w:rPr>
      <w:rFonts w:ascii="Tahoma" w:hAnsi="Tahoma" w:cs="Tahoma"/>
      <w:sz w:val="16"/>
      <w:szCs w:val="16"/>
    </w:rPr>
  </w:style>
  <w:style w:type="character" w:customStyle="1" w:styleId="BalloonTextChar">
    <w:name w:val="Balloon Text Char"/>
    <w:basedOn w:val="DefaultParagraphFont"/>
    <w:link w:val="BalloonText"/>
    <w:rsid w:val="005C4144"/>
    <w:rPr>
      <w:rFonts w:ascii="Tahoma" w:hAnsi="Tahoma" w:cs="Tahoma"/>
      <w:sz w:val="16"/>
      <w:szCs w:val="16"/>
      <w:lang w:eastAsia="en-US"/>
    </w:rPr>
  </w:style>
  <w:style w:type="table" w:customStyle="1" w:styleId="TableGrid1">
    <w:name w:val="Table Grid1"/>
    <w:basedOn w:val="TableNormal"/>
    <w:next w:val="TableGrid"/>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94">
      <w:bodyDiv w:val="1"/>
      <w:marLeft w:val="0"/>
      <w:marRight w:val="0"/>
      <w:marTop w:val="0"/>
      <w:marBottom w:val="0"/>
      <w:divBdr>
        <w:top w:val="none" w:sz="0" w:space="0" w:color="auto"/>
        <w:left w:val="none" w:sz="0" w:space="0" w:color="auto"/>
        <w:bottom w:val="none" w:sz="0" w:space="0" w:color="auto"/>
        <w:right w:val="none" w:sz="0" w:space="0" w:color="auto"/>
      </w:divBdr>
    </w:div>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790976583">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9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Resources/ETSI-Directiv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le.chaulot-talmon@etsi.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4B1C0-9390-4EE9-8E93-7DCFC7FB4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8D04C-20B5-4647-A720-9F8FC4F926B4}">
  <ds:schemaRefs>
    <ds:schemaRef ds:uri="http://schemas.openxmlformats.org/officeDocument/2006/bibliography"/>
  </ds:schemaRefs>
</ds:datastoreItem>
</file>

<file path=customXml/itemProps3.xml><?xml version="1.0" encoding="utf-8"?>
<ds:datastoreItem xmlns:ds="http://schemas.openxmlformats.org/officeDocument/2006/customXml" ds:itemID="{05A25717-28E1-496D-AA0D-75F5199ABBA0}">
  <ds:schemaRefs>
    <ds:schemaRef ds:uri="http://schemas.microsoft.com/sharepoint/v3/contenttype/forms"/>
  </ds:schemaRefs>
</ds:datastoreItem>
</file>

<file path=customXml/itemProps4.xml><?xml version="1.0" encoding="utf-8"?>
<ds:datastoreItem xmlns:ds="http://schemas.openxmlformats.org/officeDocument/2006/customXml" ds:itemID="{85FBE548-8C51-4A56-A6BA-D588CEF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11796</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Call for candidate for the position of Chairman and Vice-Chairmen of ISG NFV</vt:lpstr>
      <vt:lpstr>Call for candidate for the position of Chairman and Vice-Chairmen of ISG NFV</vt:lpstr>
      <vt:lpstr/>
    </vt:vector>
  </TitlesOfParts>
  <Company>ETSI</Company>
  <LinksUpToDate>false</LinksUpToDate>
  <CharactersWithSpaces>13915</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 for the position of Chairman and Vice-Chairmen of ISG NFV</dc:title>
  <dc:subject>Call for candidate for the position of Chairman and Vice-Chairmen of ISG NFV</dc:subject>
  <dc:creator>Laurent.Vreck@etsi.org</dc:creator>
  <cp:keywords/>
  <cp:lastModifiedBy>Emmanuelle Chaulot-Talmon</cp:lastModifiedBy>
  <cp:revision>14</cp:revision>
  <cp:lastPrinted>2016-04-22T14:08:00Z</cp:lastPrinted>
  <dcterms:created xsi:type="dcterms:W3CDTF">2023-05-12T07:55:00Z</dcterms:created>
  <dcterms:modified xsi:type="dcterms:W3CDTF">2023-06-13T07:07:00Z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ource">
    <vt:lpwstr>CFX</vt:lpwstr>
  </property>
  <property fmtid="{D5CDD505-2E9C-101B-9397-08002B2CF9AE}" pid="3" name="Chrono">
    <vt:lpwstr>MAIL</vt:lpwstr>
  </property>
  <property fmtid="{D5CDD505-2E9C-101B-9397-08002B2CF9AE}" pid="4" name="Base Target">
    <vt:lpwstr>_blank</vt:lpwstr>
  </property>
  <property fmtid="{D5CDD505-2E9C-101B-9397-08002B2CF9AE}" pid="5" name="ContentTypeId">
    <vt:lpwstr>0x010100A135AA9B65B1FF44AB5AE1481332898E</vt:lpwstr>
  </property>
  <property fmtid="{D5CDD505-2E9C-101B-9397-08002B2CF9AE}" pid="6" name="_dlc_DocIdItemGuid">
    <vt:lpwstr>27fe08d8-f260-4f45-8675-2e6eee940dea</vt:lpwstr>
  </property>
</Properties>
</file>