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590"/>
        <w:gridCol w:w="2030"/>
        <w:gridCol w:w="1371"/>
        <w:gridCol w:w="1332"/>
        <w:gridCol w:w="2031"/>
        <w:gridCol w:w="1030"/>
      </w:tblGrid>
      <w:tr w:rsidR="00775C09" w14:paraId="3E7CA396" w14:textId="77777777" w:rsidTr="005E25A4">
        <w:trPr>
          <w:trHeight w:val="818"/>
        </w:trPr>
        <w:tc>
          <w:tcPr>
            <w:tcW w:w="5000" w:type="pct"/>
            <w:gridSpan w:val="6"/>
            <w:tcBorders>
              <w:top w:val="single" w:sz="8" w:space="0" w:color="auto"/>
              <w:left w:val="single" w:sz="8" w:space="0" w:color="auto"/>
              <w:bottom w:val="nil"/>
              <w:right w:val="single" w:sz="8" w:space="0" w:color="000000"/>
            </w:tcBorders>
            <w:shd w:val="clear" w:color="000000" w:fill="F2F2F2"/>
            <w:vAlign w:val="center"/>
            <w:hideMark/>
          </w:tcPr>
          <w:p w14:paraId="3E437F6F" w14:textId="08B9A27C" w:rsidR="00775C09" w:rsidRDefault="001C3D41" w:rsidP="005E25A4">
            <w:pPr>
              <w:tabs>
                <w:tab w:val="clear" w:pos="567"/>
                <w:tab w:val="clear" w:pos="1418"/>
                <w:tab w:val="clear" w:pos="4678"/>
                <w:tab w:val="clear" w:pos="5954"/>
                <w:tab w:val="clear" w:pos="7088"/>
              </w:tabs>
              <w:overflowPunct/>
              <w:autoSpaceDE/>
              <w:autoSpaceDN/>
              <w:adjustRightInd/>
              <w:jc w:val="center"/>
              <w:textAlignment w:val="auto"/>
              <w:rPr>
                <w:rFonts w:cs="Arial"/>
                <w:b/>
                <w:bCs/>
                <w:i/>
                <w:iCs/>
                <w:color w:val="000000"/>
                <w:sz w:val="32"/>
                <w:szCs w:val="32"/>
                <w:lang w:eastAsia="en-GB"/>
              </w:rPr>
            </w:pPr>
            <w:bookmarkStart w:id="0" w:name="RANGE!A8:F31"/>
            <w:r>
              <w:rPr>
                <w:rFonts w:cs="Arial"/>
                <w:b/>
                <w:bCs/>
                <w:i/>
                <w:iCs/>
                <w:color w:val="000000"/>
                <w:sz w:val="32"/>
                <w:szCs w:val="32"/>
              </w:rPr>
              <w:t>T</w:t>
            </w:r>
            <w:r w:rsidR="00775C09">
              <w:rPr>
                <w:rFonts w:cs="Arial"/>
                <w:b/>
                <w:bCs/>
                <w:i/>
                <w:iCs/>
                <w:color w:val="000000"/>
                <w:sz w:val="32"/>
                <w:szCs w:val="32"/>
              </w:rPr>
              <w:t xml:space="preserve">TF </w:t>
            </w:r>
            <w:r>
              <w:rPr>
                <w:rFonts w:cs="Arial"/>
                <w:b/>
                <w:bCs/>
                <w:i/>
                <w:iCs/>
                <w:color w:val="000000"/>
                <w:sz w:val="32"/>
                <w:szCs w:val="32"/>
              </w:rPr>
              <w:t>T</w:t>
            </w:r>
            <w:r w:rsidR="00A83893">
              <w:rPr>
                <w:rFonts w:cs="Arial"/>
                <w:b/>
                <w:bCs/>
                <w:i/>
                <w:iCs/>
                <w:color w:val="000000"/>
                <w:sz w:val="32"/>
                <w:szCs w:val="32"/>
              </w:rPr>
              <w:t>022</w:t>
            </w:r>
            <w:r w:rsidR="00775C09">
              <w:rPr>
                <w:rFonts w:cs="Arial"/>
                <w:b/>
                <w:bCs/>
                <w:i/>
                <w:iCs/>
                <w:color w:val="000000"/>
                <w:sz w:val="32"/>
                <w:szCs w:val="32"/>
              </w:rPr>
              <w:t xml:space="preserve"> - Progress Report for ETSI</w:t>
            </w:r>
            <w:bookmarkEnd w:id="0"/>
          </w:p>
        </w:tc>
      </w:tr>
      <w:tr w:rsidR="00775C09" w14:paraId="0DEAFC77" w14:textId="77777777" w:rsidTr="005E25A4">
        <w:trPr>
          <w:trHeight w:val="525"/>
        </w:trPr>
        <w:tc>
          <w:tcPr>
            <w:tcW w:w="849"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4E9C784D" w14:textId="77777777" w:rsidR="00775C09" w:rsidRDefault="00775C09" w:rsidP="005E25A4">
            <w:pPr>
              <w:jc w:val="left"/>
              <w:rPr>
                <w:rFonts w:cs="Arial"/>
                <w:b/>
                <w:bCs/>
                <w:color w:val="000000"/>
              </w:rPr>
            </w:pPr>
            <w:r>
              <w:rPr>
                <w:rFonts w:cs="Arial"/>
                <w:b/>
                <w:bCs/>
                <w:color w:val="000000"/>
              </w:rPr>
              <w:t>Presented to ETSI meeting</w:t>
            </w:r>
          </w:p>
        </w:tc>
        <w:tc>
          <w:tcPr>
            <w:tcW w:w="1083" w:type="pct"/>
            <w:tcBorders>
              <w:top w:val="single" w:sz="8" w:space="0" w:color="auto"/>
              <w:left w:val="nil"/>
              <w:bottom w:val="single" w:sz="8" w:space="0" w:color="auto"/>
              <w:right w:val="nil"/>
            </w:tcBorders>
            <w:shd w:val="clear" w:color="auto" w:fill="auto"/>
            <w:vAlign w:val="center"/>
            <w:hideMark/>
          </w:tcPr>
          <w:p w14:paraId="63BFEE66" w14:textId="64F420C7" w:rsidR="00775C09" w:rsidRDefault="00775C09" w:rsidP="005E25A4">
            <w:pPr>
              <w:rPr>
                <w:rFonts w:cs="Arial"/>
                <w:b/>
                <w:bCs/>
                <w:color w:val="000000"/>
              </w:rPr>
            </w:pPr>
            <w:r>
              <w:rPr>
                <w:rFonts w:cs="Arial"/>
                <w:b/>
                <w:bCs/>
                <w:color w:val="000000"/>
              </w:rPr>
              <w:t> </w:t>
            </w:r>
            <w:r w:rsidR="009D3E29">
              <w:rPr>
                <w:rFonts w:cs="Arial"/>
                <w:b/>
                <w:bCs/>
                <w:color w:val="000000"/>
              </w:rPr>
              <w:t>MTS#88</w:t>
            </w:r>
          </w:p>
        </w:tc>
        <w:tc>
          <w:tcPr>
            <w:tcW w:w="732" w:type="pct"/>
            <w:tcBorders>
              <w:top w:val="single" w:sz="8" w:space="0" w:color="auto"/>
              <w:left w:val="nil"/>
              <w:bottom w:val="single" w:sz="8" w:space="0" w:color="auto"/>
              <w:right w:val="single" w:sz="8" w:space="0" w:color="auto"/>
            </w:tcBorders>
            <w:shd w:val="clear" w:color="auto" w:fill="auto"/>
            <w:vAlign w:val="center"/>
            <w:hideMark/>
          </w:tcPr>
          <w:p w14:paraId="5529A362" w14:textId="77777777" w:rsidR="00775C09" w:rsidRDefault="00775C09" w:rsidP="005E25A4">
            <w:pPr>
              <w:rPr>
                <w:rFonts w:cs="Arial"/>
                <w:b/>
                <w:bCs/>
                <w:color w:val="000000"/>
              </w:rPr>
            </w:pPr>
            <w:r>
              <w:rPr>
                <w:rFonts w:cs="Arial"/>
                <w:b/>
                <w:bCs/>
                <w:color w:val="000000"/>
              </w:rPr>
              <w:t> </w:t>
            </w:r>
          </w:p>
        </w:tc>
        <w:tc>
          <w:tcPr>
            <w:tcW w:w="703" w:type="pct"/>
            <w:tcBorders>
              <w:top w:val="single" w:sz="8" w:space="0" w:color="auto"/>
              <w:left w:val="nil"/>
              <w:bottom w:val="single" w:sz="8" w:space="0" w:color="auto"/>
              <w:right w:val="single" w:sz="8" w:space="0" w:color="auto"/>
            </w:tcBorders>
            <w:shd w:val="clear" w:color="auto" w:fill="auto"/>
            <w:vAlign w:val="center"/>
            <w:hideMark/>
          </w:tcPr>
          <w:p w14:paraId="396DC8C2" w14:textId="77777777" w:rsidR="00775C09" w:rsidRDefault="00775C09" w:rsidP="005E25A4">
            <w:pPr>
              <w:rPr>
                <w:rFonts w:cs="Arial"/>
                <w:b/>
                <w:bCs/>
                <w:color w:val="000000"/>
              </w:rPr>
            </w:pPr>
            <w:r>
              <w:rPr>
                <w:rFonts w:cs="Arial"/>
                <w:b/>
                <w:bCs/>
                <w:color w:val="000000"/>
              </w:rPr>
              <w:t>Author:</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3BB925E" w14:textId="485EB1F9" w:rsidR="00775C09" w:rsidRDefault="00A83893" w:rsidP="005E25A4">
            <w:pPr>
              <w:jc w:val="center"/>
              <w:rPr>
                <w:rFonts w:cs="Arial"/>
                <w:color w:val="000000"/>
              </w:rPr>
            </w:pPr>
            <w:r>
              <w:rPr>
                <w:rStyle w:val="normaltextrun"/>
                <w:rFonts w:cs="Arial"/>
                <w:color w:val="000000"/>
                <w:bdr w:val="none" w:sz="0" w:space="0" w:color="auto" w:frame="1"/>
              </w:rPr>
              <w:t>Martti Käärik</w:t>
            </w:r>
          </w:p>
        </w:tc>
      </w:tr>
      <w:tr w:rsidR="00775C09" w14:paraId="4D00C70D"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0AE40C51" w14:textId="77777777" w:rsidR="00775C09" w:rsidRDefault="00775C09" w:rsidP="005E25A4">
            <w:pPr>
              <w:jc w:val="left"/>
              <w:rPr>
                <w:rFonts w:cs="Arial"/>
                <w:color w:val="000000"/>
              </w:rPr>
            </w:pPr>
            <w:r>
              <w:rPr>
                <w:rFonts w:cs="Arial"/>
                <w:color w:val="000000"/>
              </w:rPr>
              <w:t> </w:t>
            </w:r>
          </w:p>
        </w:tc>
        <w:tc>
          <w:tcPr>
            <w:tcW w:w="1083" w:type="pct"/>
            <w:tcBorders>
              <w:top w:val="nil"/>
              <w:left w:val="nil"/>
              <w:bottom w:val="single" w:sz="8" w:space="0" w:color="auto"/>
              <w:right w:val="nil"/>
            </w:tcBorders>
            <w:shd w:val="clear" w:color="auto" w:fill="auto"/>
            <w:vAlign w:val="center"/>
            <w:hideMark/>
          </w:tcPr>
          <w:p w14:paraId="69B943E8" w14:textId="77777777" w:rsidR="00775C09" w:rsidRDefault="00775C09" w:rsidP="005E25A4">
            <w:pPr>
              <w:rPr>
                <w:rFonts w:cs="Arial"/>
                <w:color w:val="000000"/>
              </w:rPr>
            </w:pPr>
            <w:r>
              <w:rPr>
                <w:rFonts w:cs="Arial"/>
                <w:color w:val="000000"/>
              </w:rPr>
              <w:t xml:space="preserve"> </w:t>
            </w:r>
          </w:p>
        </w:tc>
        <w:tc>
          <w:tcPr>
            <w:tcW w:w="732" w:type="pct"/>
            <w:tcBorders>
              <w:top w:val="nil"/>
              <w:left w:val="nil"/>
              <w:bottom w:val="single" w:sz="8" w:space="0" w:color="auto"/>
              <w:right w:val="single" w:sz="8" w:space="0" w:color="auto"/>
            </w:tcBorders>
            <w:shd w:val="clear" w:color="auto" w:fill="auto"/>
            <w:vAlign w:val="center"/>
            <w:hideMark/>
          </w:tcPr>
          <w:p w14:paraId="036F1C3D" w14:textId="77777777" w:rsidR="00775C09" w:rsidRDefault="00775C09" w:rsidP="005E25A4">
            <w:pPr>
              <w:rPr>
                <w:rFonts w:cs="Arial"/>
                <w:color w:val="000000"/>
              </w:rPr>
            </w:pPr>
            <w:r>
              <w:rPr>
                <w:rFonts w:cs="Arial"/>
                <w:color w:val="000000"/>
              </w:rPr>
              <w:t xml:space="preserve"> </w:t>
            </w:r>
          </w:p>
        </w:tc>
        <w:tc>
          <w:tcPr>
            <w:tcW w:w="703" w:type="pct"/>
            <w:tcBorders>
              <w:top w:val="nil"/>
              <w:left w:val="nil"/>
              <w:bottom w:val="single" w:sz="8" w:space="0" w:color="auto"/>
              <w:right w:val="single" w:sz="8" w:space="0" w:color="auto"/>
            </w:tcBorders>
            <w:shd w:val="clear" w:color="auto" w:fill="auto"/>
            <w:vAlign w:val="center"/>
            <w:hideMark/>
          </w:tcPr>
          <w:p w14:paraId="589AF46D" w14:textId="77777777" w:rsidR="00775C09" w:rsidRDefault="00775C09" w:rsidP="005E25A4">
            <w:pPr>
              <w:rPr>
                <w:rFonts w:cs="Arial"/>
                <w:b/>
                <w:bCs/>
                <w:color w:val="000000"/>
              </w:rPr>
            </w:pPr>
            <w:r>
              <w:rPr>
                <w:rFonts w:cs="Arial"/>
                <w:b/>
                <w:bCs/>
                <w:color w:val="000000"/>
              </w:rPr>
              <w:t>Date:</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4B9FD024" w14:textId="22219B36" w:rsidR="00775C09" w:rsidRDefault="003E7969" w:rsidP="005E25A4">
            <w:pPr>
              <w:jc w:val="center"/>
              <w:rPr>
                <w:rFonts w:cs="Arial"/>
                <w:color w:val="000000"/>
              </w:rPr>
            </w:pPr>
            <w:r>
              <w:rPr>
                <w:rFonts w:cs="Arial"/>
                <w:color w:val="000000"/>
              </w:rPr>
              <w:t>20</w:t>
            </w:r>
            <w:r w:rsidR="00A83893">
              <w:rPr>
                <w:rFonts w:cs="Arial"/>
                <w:color w:val="000000"/>
              </w:rPr>
              <w:t xml:space="preserve"> JAN 2023</w:t>
            </w:r>
          </w:p>
        </w:tc>
      </w:tr>
      <w:tr w:rsidR="00775C09" w14:paraId="219A5D0E"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31E10CA0" w14:textId="77777777" w:rsidR="00775C09" w:rsidRDefault="00775C09" w:rsidP="005E25A4">
            <w:pPr>
              <w:jc w:val="left"/>
              <w:rPr>
                <w:rFonts w:cs="Arial"/>
                <w:b/>
                <w:bCs/>
                <w:color w:val="000000"/>
              </w:rPr>
            </w:pPr>
            <w:r>
              <w:rPr>
                <w:rFonts w:cs="Arial"/>
                <w:b/>
                <w:bCs/>
                <w:color w:val="000000"/>
              </w:rPr>
              <w:t>Doc ref</w:t>
            </w:r>
          </w:p>
        </w:tc>
        <w:tc>
          <w:tcPr>
            <w:tcW w:w="1083" w:type="pct"/>
            <w:tcBorders>
              <w:top w:val="nil"/>
              <w:left w:val="nil"/>
              <w:bottom w:val="single" w:sz="8" w:space="0" w:color="auto"/>
              <w:right w:val="nil"/>
            </w:tcBorders>
            <w:shd w:val="clear" w:color="auto" w:fill="auto"/>
            <w:vAlign w:val="center"/>
            <w:hideMark/>
          </w:tcPr>
          <w:p w14:paraId="21AE13DE" w14:textId="18FAC7BF" w:rsidR="00775C09" w:rsidRDefault="00775C09" w:rsidP="005E25A4">
            <w:pPr>
              <w:rPr>
                <w:rFonts w:cs="Arial"/>
                <w:b/>
                <w:bCs/>
                <w:color w:val="000000"/>
              </w:rPr>
            </w:pPr>
            <w:r>
              <w:rPr>
                <w:rFonts w:cs="Arial"/>
                <w:b/>
                <w:bCs/>
                <w:color w:val="000000"/>
              </w:rPr>
              <w:t> </w:t>
            </w:r>
            <w:proofErr w:type="gramStart"/>
            <w:r w:rsidR="009D3E29" w:rsidRPr="009D3E29">
              <w:rPr>
                <w:rFonts w:cs="Arial"/>
                <w:b/>
                <w:bCs/>
                <w:color w:val="000000"/>
              </w:rPr>
              <w:t>MTS(</w:t>
            </w:r>
            <w:proofErr w:type="gramEnd"/>
            <w:r w:rsidR="009D3E29" w:rsidRPr="009D3E29">
              <w:rPr>
                <w:rFonts w:cs="Arial"/>
                <w:b/>
                <w:bCs/>
                <w:color w:val="000000"/>
              </w:rPr>
              <w:t>23)088009</w:t>
            </w:r>
          </w:p>
        </w:tc>
        <w:tc>
          <w:tcPr>
            <w:tcW w:w="732" w:type="pct"/>
            <w:tcBorders>
              <w:top w:val="nil"/>
              <w:left w:val="nil"/>
              <w:bottom w:val="single" w:sz="8" w:space="0" w:color="auto"/>
              <w:right w:val="single" w:sz="8" w:space="0" w:color="auto"/>
            </w:tcBorders>
            <w:shd w:val="clear" w:color="auto" w:fill="auto"/>
            <w:vAlign w:val="center"/>
            <w:hideMark/>
          </w:tcPr>
          <w:p w14:paraId="2E3CF8E7"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auto" w:fill="auto"/>
            <w:vAlign w:val="center"/>
            <w:hideMark/>
          </w:tcPr>
          <w:p w14:paraId="742573CE" w14:textId="77777777" w:rsidR="00775C09" w:rsidRDefault="00775C09" w:rsidP="005E25A4">
            <w:pPr>
              <w:rPr>
                <w:rFonts w:cs="Arial"/>
                <w:b/>
                <w:bCs/>
                <w:color w:val="000000"/>
              </w:rPr>
            </w:pPr>
            <w:r>
              <w:rPr>
                <w:rFonts w:cs="Arial"/>
                <w:b/>
                <w:bCs/>
                <w:color w:val="000000"/>
              </w:rPr>
              <w:t>Version</w:t>
            </w:r>
          </w:p>
        </w:tc>
        <w:tc>
          <w:tcPr>
            <w:tcW w:w="1633" w:type="pct"/>
            <w:gridSpan w:val="2"/>
            <w:tcBorders>
              <w:top w:val="single" w:sz="8" w:space="0" w:color="auto"/>
              <w:left w:val="nil"/>
              <w:bottom w:val="single" w:sz="8" w:space="0" w:color="auto"/>
              <w:right w:val="single" w:sz="8" w:space="0" w:color="000000"/>
            </w:tcBorders>
            <w:shd w:val="clear" w:color="auto" w:fill="auto"/>
            <w:vAlign w:val="center"/>
            <w:hideMark/>
          </w:tcPr>
          <w:p w14:paraId="5BD8A763" w14:textId="77777777" w:rsidR="00775C09" w:rsidRDefault="00775C09" w:rsidP="005E25A4">
            <w:pPr>
              <w:jc w:val="center"/>
              <w:rPr>
                <w:rFonts w:cs="Arial"/>
                <w:color w:val="000000"/>
              </w:rPr>
            </w:pPr>
            <w:r>
              <w:rPr>
                <w:rFonts w:cs="Arial"/>
                <w:color w:val="000000"/>
              </w:rPr>
              <w:t>0.1</w:t>
            </w:r>
          </w:p>
        </w:tc>
      </w:tr>
      <w:tr w:rsidR="00775C09" w14:paraId="5CBBEB5A" w14:textId="77777777" w:rsidTr="005E25A4">
        <w:trPr>
          <w:trHeight w:val="300"/>
        </w:trPr>
        <w:tc>
          <w:tcPr>
            <w:tcW w:w="849" w:type="pct"/>
            <w:tcBorders>
              <w:top w:val="nil"/>
              <w:left w:val="nil"/>
              <w:bottom w:val="nil"/>
              <w:right w:val="nil"/>
            </w:tcBorders>
            <w:shd w:val="clear" w:color="auto" w:fill="auto"/>
            <w:noWrap/>
            <w:vAlign w:val="center"/>
            <w:hideMark/>
          </w:tcPr>
          <w:p w14:paraId="39F09EA1" w14:textId="77777777" w:rsidR="00775C09" w:rsidRDefault="00775C09" w:rsidP="005E25A4">
            <w:pPr>
              <w:jc w:val="center"/>
              <w:rPr>
                <w:rFonts w:cs="Arial"/>
                <w:color w:val="000000"/>
              </w:rPr>
            </w:pPr>
          </w:p>
        </w:tc>
        <w:tc>
          <w:tcPr>
            <w:tcW w:w="1083" w:type="pct"/>
            <w:tcBorders>
              <w:top w:val="nil"/>
              <w:left w:val="nil"/>
              <w:bottom w:val="nil"/>
              <w:right w:val="nil"/>
            </w:tcBorders>
            <w:shd w:val="clear" w:color="auto" w:fill="auto"/>
            <w:noWrap/>
            <w:vAlign w:val="bottom"/>
            <w:hideMark/>
          </w:tcPr>
          <w:p w14:paraId="5F025756" w14:textId="77777777" w:rsidR="00775C09" w:rsidRDefault="00775C09" w:rsidP="005E25A4"/>
        </w:tc>
        <w:tc>
          <w:tcPr>
            <w:tcW w:w="732" w:type="pct"/>
            <w:tcBorders>
              <w:top w:val="nil"/>
              <w:left w:val="nil"/>
              <w:bottom w:val="nil"/>
              <w:right w:val="nil"/>
            </w:tcBorders>
            <w:shd w:val="clear" w:color="auto" w:fill="auto"/>
            <w:noWrap/>
            <w:vAlign w:val="bottom"/>
            <w:hideMark/>
          </w:tcPr>
          <w:p w14:paraId="77DD57B4" w14:textId="77777777" w:rsidR="00775C09" w:rsidRDefault="00775C09" w:rsidP="005E25A4"/>
        </w:tc>
        <w:tc>
          <w:tcPr>
            <w:tcW w:w="703" w:type="pct"/>
            <w:tcBorders>
              <w:top w:val="nil"/>
              <w:left w:val="nil"/>
              <w:bottom w:val="nil"/>
              <w:right w:val="nil"/>
            </w:tcBorders>
            <w:shd w:val="clear" w:color="auto" w:fill="auto"/>
            <w:noWrap/>
            <w:vAlign w:val="bottom"/>
            <w:hideMark/>
          </w:tcPr>
          <w:p w14:paraId="017A8FF4" w14:textId="77777777" w:rsidR="00775C09" w:rsidRDefault="00775C09" w:rsidP="005E25A4"/>
        </w:tc>
        <w:tc>
          <w:tcPr>
            <w:tcW w:w="1083" w:type="pct"/>
            <w:tcBorders>
              <w:top w:val="nil"/>
              <w:left w:val="nil"/>
              <w:bottom w:val="nil"/>
              <w:right w:val="nil"/>
            </w:tcBorders>
            <w:shd w:val="clear" w:color="auto" w:fill="auto"/>
            <w:noWrap/>
            <w:vAlign w:val="bottom"/>
            <w:hideMark/>
          </w:tcPr>
          <w:p w14:paraId="55F124FC" w14:textId="77777777" w:rsidR="00775C09" w:rsidRDefault="00775C09" w:rsidP="005E25A4"/>
        </w:tc>
        <w:tc>
          <w:tcPr>
            <w:tcW w:w="549" w:type="pct"/>
            <w:tcBorders>
              <w:top w:val="nil"/>
              <w:left w:val="nil"/>
              <w:bottom w:val="nil"/>
              <w:right w:val="nil"/>
            </w:tcBorders>
            <w:shd w:val="clear" w:color="auto" w:fill="auto"/>
            <w:noWrap/>
            <w:vAlign w:val="bottom"/>
            <w:hideMark/>
          </w:tcPr>
          <w:p w14:paraId="1F24AADF" w14:textId="77777777" w:rsidR="00775C09" w:rsidRDefault="00775C09" w:rsidP="005E25A4"/>
        </w:tc>
      </w:tr>
      <w:tr w:rsidR="00775C09" w14:paraId="37011C83" w14:textId="77777777" w:rsidTr="005E25A4">
        <w:trPr>
          <w:trHeight w:val="315"/>
        </w:trPr>
        <w:tc>
          <w:tcPr>
            <w:tcW w:w="849" w:type="pct"/>
            <w:tcBorders>
              <w:top w:val="nil"/>
              <w:left w:val="nil"/>
              <w:bottom w:val="nil"/>
              <w:right w:val="nil"/>
            </w:tcBorders>
            <w:shd w:val="clear" w:color="auto" w:fill="auto"/>
            <w:noWrap/>
            <w:vAlign w:val="center"/>
            <w:hideMark/>
          </w:tcPr>
          <w:p w14:paraId="3040BA55" w14:textId="77777777" w:rsidR="00775C09" w:rsidRDefault="00775C09" w:rsidP="005E25A4"/>
        </w:tc>
        <w:tc>
          <w:tcPr>
            <w:tcW w:w="1083" w:type="pct"/>
            <w:tcBorders>
              <w:top w:val="nil"/>
              <w:left w:val="nil"/>
              <w:bottom w:val="nil"/>
              <w:right w:val="nil"/>
            </w:tcBorders>
            <w:shd w:val="clear" w:color="auto" w:fill="auto"/>
            <w:noWrap/>
            <w:vAlign w:val="bottom"/>
            <w:hideMark/>
          </w:tcPr>
          <w:p w14:paraId="3E39122A" w14:textId="77777777" w:rsidR="00775C09" w:rsidRDefault="00775C09" w:rsidP="005E25A4"/>
        </w:tc>
        <w:tc>
          <w:tcPr>
            <w:tcW w:w="732" w:type="pct"/>
            <w:tcBorders>
              <w:top w:val="nil"/>
              <w:left w:val="nil"/>
              <w:bottom w:val="nil"/>
              <w:right w:val="nil"/>
            </w:tcBorders>
            <w:shd w:val="clear" w:color="auto" w:fill="auto"/>
            <w:noWrap/>
            <w:vAlign w:val="bottom"/>
            <w:hideMark/>
          </w:tcPr>
          <w:p w14:paraId="2E7AB372" w14:textId="77777777" w:rsidR="00775C09" w:rsidRDefault="00775C09" w:rsidP="005E25A4"/>
        </w:tc>
        <w:tc>
          <w:tcPr>
            <w:tcW w:w="703" w:type="pct"/>
            <w:tcBorders>
              <w:top w:val="nil"/>
              <w:left w:val="nil"/>
              <w:bottom w:val="nil"/>
              <w:right w:val="nil"/>
            </w:tcBorders>
            <w:shd w:val="clear" w:color="auto" w:fill="auto"/>
            <w:noWrap/>
            <w:vAlign w:val="bottom"/>
            <w:hideMark/>
          </w:tcPr>
          <w:p w14:paraId="3442DC41" w14:textId="77777777" w:rsidR="00775C09" w:rsidRDefault="00775C09" w:rsidP="005E25A4"/>
        </w:tc>
        <w:tc>
          <w:tcPr>
            <w:tcW w:w="1083" w:type="pct"/>
            <w:tcBorders>
              <w:top w:val="nil"/>
              <w:left w:val="nil"/>
              <w:bottom w:val="nil"/>
              <w:right w:val="nil"/>
            </w:tcBorders>
            <w:shd w:val="clear" w:color="auto" w:fill="auto"/>
            <w:noWrap/>
            <w:vAlign w:val="bottom"/>
            <w:hideMark/>
          </w:tcPr>
          <w:p w14:paraId="04087A2A" w14:textId="77777777" w:rsidR="00775C09" w:rsidRDefault="00775C09" w:rsidP="005E25A4"/>
        </w:tc>
        <w:tc>
          <w:tcPr>
            <w:tcW w:w="549" w:type="pct"/>
            <w:tcBorders>
              <w:top w:val="nil"/>
              <w:left w:val="nil"/>
              <w:bottom w:val="nil"/>
              <w:right w:val="nil"/>
            </w:tcBorders>
            <w:shd w:val="clear" w:color="auto" w:fill="auto"/>
            <w:noWrap/>
            <w:vAlign w:val="bottom"/>
            <w:hideMark/>
          </w:tcPr>
          <w:p w14:paraId="54435AD9" w14:textId="77777777" w:rsidR="00775C09" w:rsidRDefault="00775C09" w:rsidP="005E25A4"/>
        </w:tc>
      </w:tr>
      <w:tr w:rsidR="00775C09" w14:paraId="18A40173" w14:textId="77777777" w:rsidTr="005E25A4">
        <w:trPr>
          <w:trHeight w:val="330"/>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40AF93B9" w14:textId="01A952AF"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AC2FAA6" w14:textId="2D7D9806" w:rsidR="00775C09" w:rsidRPr="00A83893" w:rsidRDefault="00A83893" w:rsidP="005E25A4">
            <w:pPr>
              <w:jc w:val="center"/>
              <w:rPr>
                <w:rFonts w:cs="Arial"/>
                <w:b/>
                <w:bCs/>
                <w:color w:val="000000"/>
              </w:rPr>
            </w:pPr>
            <w:r w:rsidRPr="00A83893">
              <w:rPr>
                <w:rFonts w:cs="Arial"/>
                <w:b/>
                <w:bCs/>
                <w:color w:val="000000"/>
              </w:rPr>
              <w:t>T022</w:t>
            </w:r>
          </w:p>
        </w:tc>
        <w:tc>
          <w:tcPr>
            <w:tcW w:w="732" w:type="pct"/>
            <w:tcBorders>
              <w:top w:val="nil"/>
              <w:left w:val="nil"/>
              <w:bottom w:val="nil"/>
              <w:right w:val="single" w:sz="8" w:space="0" w:color="auto"/>
            </w:tcBorders>
            <w:shd w:val="clear" w:color="auto" w:fill="auto"/>
            <w:vAlign w:val="center"/>
            <w:hideMark/>
          </w:tcPr>
          <w:p w14:paraId="15166F00" w14:textId="77777777" w:rsidR="00775C09" w:rsidRDefault="00775C09" w:rsidP="005E25A4">
            <w:pPr>
              <w:rPr>
                <w:rFonts w:cs="Arial"/>
                <w:color w:val="000000"/>
              </w:rPr>
            </w:pPr>
            <w:r>
              <w:rPr>
                <w:rFonts w:cs="Arial"/>
                <w:color w:val="000000"/>
              </w:rPr>
              <w:t> </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18AD0B6C" w14:textId="11F36493"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leader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419BFF75" w14:textId="7C498A9C" w:rsidR="00775C09" w:rsidRDefault="00A83893" w:rsidP="005E25A4">
            <w:pPr>
              <w:jc w:val="left"/>
              <w:rPr>
                <w:rFonts w:cs="Arial"/>
                <w:color w:val="000000"/>
              </w:rPr>
            </w:pPr>
            <w:r>
              <w:rPr>
                <w:rStyle w:val="normaltextrun"/>
                <w:rFonts w:cs="Arial"/>
                <w:color w:val="000000"/>
                <w:bdr w:val="none" w:sz="0" w:space="0" w:color="auto" w:frame="1"/>
              </w:rPr>
              <w:t>Martti Käärik</w:t>
            </w:r>
          </w:p>
        </w:tc>
      </w:tr>
      <w:tr w:rsidR="00775C09" w14:paraId="3EB005F5" w14:textId="77777777" w:rsidTr="005E25A4">
        <w:trPr>
          <w:trHeight w:val="503"/>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6D8595D" w14:textId="77777777" w:rsidR="00775C09" w:rsidRDefault="00775C09" w:rsidP="005E25A4">
            <w:pPr>
              <w:rPr>
                <w:rFonts w:cs="Arial"/>
                <w:b/>
                <w:bCs/>
                <w:color w:val="000000"/>
                <w:sz w:val="24"/>
                <w:szCs w:val="24"/>
              </w:rPr>
            </w:pPr>
            <w:r>
              <w:rPr>
                <w:rFonts w:cs="Arial"/>
                <w:b/>
                <w:bCs/>
                <w:color w:val="000000"/>
              </w:rPr>
              <w:t>TB/WG</w:t>
            </w:r>
          </w:p>
        </w:tc>
        <w:tc>
          <w:tcPr>
            <w:tcW w:w="1083" w:type="pct"/>
            <w:tcBorders>
              <w:top w:val="nil"/>
              <w:left w:val="nil"/>
              <w:bottom w:val="single" w:sz="8" w:space="0" w:color="auto"/>
              <w:right w:val="single" w:sz="8" w:space="0" w:color="auto"/>
            </w:tcBorders>
            <w:shd w:val="clear" w:color="000000" w:fill="F2F2F2"/>
            <w:vAlign w:val="center"/>
            <w:hideMark/>
          </w:tcPr>
          <w:p w14:paraId="14E934A8" w14:textId="180775BB" w:rsidR="00775C09" w:rsidRPr="00A83893" w:rsidRDefault="00A83893" w:rsidP="005E25A4">
            <w:pPr>
              <w:jc w:val="center"/>
              <w:rPr>
                <w:rFonts w:cs="Arial"/>
                <w:b/>
                <w:bCs/>
                <w:color w:val="000000"/>
              </w:rPr>
            </w:pPr>
            <w:r w:rsidRPr="00A83893">
              <w:rPr>
                <w:rFonts w:cs="Arial"/>
                <w:b/>
                <w:bCs/>
                <w:color w:val="000000"/>
              </w:rPr>
              <w:t>MTS</w:t>
            </w:r>
            <w:r w:rsidR="00775C09" w:rsidRPr="00A83893">
              <w:rPr>
                <w:rFonts w:cs="Arial"/>
                <w:b/>
                <w:bCs/>
                <w:color w:val="000000"/>
              </w:rPr>
              <w:t xml:space="preserve"> </w:t>
            </w:r>
          </w:p>
        </w:tc>
        <w:tc>
          <w:tcPr>
            <w:tcW w:w="732" w:type="pct"/>
            <w:tcBorders>
              <w:top w:val="nil"/>
              <w:left w:val="nil"/>
              <w:bottom w:val="nil"/>
              <w:right w:val="single" w:sz="8" w:space="0" w:color="auto"/>
            </w:tcBorders>
            <w:shd w:val="clear" w:color="auto" w:fill="auto"/>
            <w:vAlign w:val="center"/>
            <w:hideMark/>
          </w:tcPr>
          <w:p w14:paraId="5195CBC6"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7AB7545A" w14:textId="77777777" w:rsidR="00775C09" w:rsidRDefault="00775C09" w:rsidP="005E25A4">
            <w:pPr>
              <w:jc w:val="left"/>
              <w:rPr>
                <w:rFonts w:cs="Arial"/>
                <w:b/>
                <w:bCs/>
                <w:color w:val="000000"/>
                <w:sz w:val="24"/>
                <w:szCs w:val="24"/>
              </w:rPr>
            </w:pPr>
            <w:r>
              <w:rPr>
                <w:rFonts w:cs="Arial"/>
                <w:b/>
                <w:bCs/>
                <w:color w:val="000000"/>
              </w:rPr>
              <w:t>TB responsible</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662BF056" w14:textId="001AEF1A" w:rsidR="00775C09" w:rsidRDefault="00A83893" w:rsidP="005E25A4">
            <w:pPr>
              <w:rPr>
                <w:rFonts w:cs="Arial"/>
                <w:color w:val="000000"/>
              </w:rPr>
            </w:pPr>
            <w:r>
              <w:rPr>
                <w:rStyle w:val="normaltextrun"/>
                <w:rFonts w:cs="Arial"/>
                <w:color w:val="000000"/>
                <w:shd w:val="clear" w:color="auto" w:fill="FFFFFF"/>
              </w:rPr>
              <w:t>Philip Makedonski</w:t>
            </w:r>
          </w:p>
        </w:tc>
      </w:tr>
      <w:tr w:rsidR="00775C09" w14:paraId="00E56F04" w14:textId="77777777" w:rsidTr="005E25A4">
        <w:trPr>
          <w:trHeight w:val="330"/>
        </w:trPr>
        <w:tc>
          <w:tcPr>
            <w:tcW w:w="849" w:type="pct"/>
            <w:tcBorders>
              <w:top w:val="nil"/>
              <w:left w:val="nil"/>
              <w:bottom w:val="nil"/>
              <w:right w:val="nil"/>
            </w:tcBorders>
            <w:shd w:val="clear" w:color="auto" w:fill="auto"/>
            <w:vAlign w:val="center"/>
            <w:hideMark/>
          </w:tcPr>
          <w:p w14:paraId="01E1655E"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vAlign w:val="center"/>
            <w:hideMark/>
          </w:tcPr>
          <w:p w14:paraId="3EFA8710" w14:textId="77777777" w:rsidR="00775C09" w:rsidRDefault="00775C09" w:rsidP="005E25A4"/>
        </w:tc>
        <w:tc>
          <w:tcPr>
            <w:tcW w:w="732" w:type="pct"/>
            <w:tcBorders>
              <w:top w:val="nil"/>
              <w:left w:val="nil"/>
              <w:bottom w:val="nil"/>
              <w:right w:val="single" w:sz="8" w:space="0" w:color="auto"/>
            </w:tcBorders>
            <w:shd w:val="clear" w:color="auto" w:fill="auto"/>
            <w:vAlign w:val="center"/>
            <w:hideMark/>
          </w:tcPr>
          <w:p w14:paraId="2C1C4855"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vAlign w:val="center"/>
            <w:hideMark/>
          </w:tcPr>
          <w:p w14:paraId="540FB55A" w14:textId="77777777" w:rsidR="00775C09" w:rsidRDefault="00775C09" w:rsidP="005E25A4">
            <w:pPr>
              <w:rPr>
                <w:rFonts w:cs="Arial"/>
                <w:b/>
                <w:bCs/>
                <w:color w:val="000000"/>
                <w:sz w:val="24"/>
                <w:szCs w:val="24"/>
              </w:rPr>
            </w:pPr>
            <w:r>
              <w:rPr>
                <w:rFonts w:cs="Arial"/>
                <w:b/>
                <w:bCs/>
                <w:color w:val="000000"/>
              </w:rPr>
              <w:t>Administrator</w:t>
            </w:r>
          </w:p>
        </w:tc>
        <w:tc>
          <w:tcPr>
            <w:tcW w:w="1633" w:type="pct"/>
            <w:gridSpan w:val="2"/>
            <w:tcBorders>
              <w:top w:val="single" w:sz="8" w:space="0" w:color="auto"/>
              <w:left w:val="nil"/>
              <w:bottom w:val="single" w:sz="8" w:space="0" w:color="auto"/>
              <w:right w:val="single" w:sz="8" w:space="0" w:color="000000"/>
            </w:tcBorders>
            <w:shd w:val="clear" w:color="000000" w:fill="F2F2F2"/>
            <w:vAlign w:val="center"/>
            <w:hideMark/>
          </w:tcPr>
          <w:p w14:paraId="79AD1AAE" w14:textId="33ECE992" w:rsidR="00775C09" w:rsidRDefault="00A83893" w:rsidP="005E25A4">
            <w:pPr>
              <w:jc w:val="left"/>
              <w:rPr>
                <w:rFonts w:cs="Arial"/>
                <w:color w:val="000000"/>
              </w:rPr>
            </w:pPr>
            <w:r>
              <w:rPr>
                <w:rFonts w:cs="Arial"/>
                <w:color w:val="000000"/>
              </w:rPr>
              <w:t>Elodie Rouveroux</w:t>
            </w:r>
          </w:p>
        </w:tc>
      </w:tr>
      <w:tr w:rsidR="00775C09" w14:paraId="41626BEB" w14:textId="77777777" w:rsidTr="005E25A4">
        <w:trPr>
          <w:trHeight w:val="315"/>
        </w:trPr>
        <w:tc>
          <w:tcPr>
            <w:tcW w:w="849" w:type="pct"/>
            <w:tcBorders>
              <w:top w:val="nil"/>
              <w:left w:val="nil"/>
              <w:bottom w:val="nil"/>
              <w:right w:val="nil"/>
            </w:tcBorders>
            <w:shd w:val="clear" w:color="auto" w:fill="auto"/>
            <w:noWrap/>
            <w:vAlign w:val="center"/>
            <w:hideMark/>
          </w:tcPr>
          <w:p w14:paraId="7CE08BD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D61E1CB" w14:textId="77777777" w:rsidR="00775C09" w:rsidRDefault="00775C09" w:rsidP="005E25A4"/>
        </w:tc>
        <w:tc>
          <w:tcPr>
            <w:tcW w:w="732" w:type="pct"/>
            <w:tcBorders>
              <w:top w:val="nil"/>
              <w:left w:val="nil"/>
              <w:bottom w:val="nil"/>
              <w:right w:val="nil"/>
            </w:tcBorders>
            <w:shd w:val="clear" w:color="auto" w:fill="auto"/>
            <w:noWrap/>
            <w:vAlign w:val="bottom"/>
            <w:hideMark/>
          </w:tcPr>
          <w:p w14:paraId="3F200595" w14:textId="77777777" w:rsidR="00775C09" w:rsidRDefault="00775C09" w:rsidP="005E25A4"/>
        </w:tc>
        <w:tc>
          <w:tcPr>
            <w:tcW w:w="703" w:type="pct"/>
            <w:tcBorders>
              <w:top w:val="nil"/>
              <w:left w:val="nil"/>
              <w:bottom w:val="nil"/>
              <w:right w:val="nil"/>
            </w:tcBorders>
            <w:shd w:val="clear" w:color="auto" w:fill="auto"/>
            <w:noWrap/>
            <w:vAlign w:val="bottom"/>
            <w:hideMark/>
          </w:tcPr>
          <w:p w14:paraId="4A8300FE" w14:textId="77777777" w:rsidR="00775C09" w:rsidRDefault="00775C09" w:rsidP="005E25A4"/>
        </w:tc>
        <w:tc>
          <w:tcPr>
            <w:tcW w:w="1083" w:type="pct"/>
            <w:tcBorders>
              <w:top w:val="nil"/>
              <w:left w:val="nil"/>
              <w:bottom w:val="nil"/>
              <w:right w:val="nil"/>
            </w:tcBorders>
            <w:shd w:val="clear" w:color="auto" w:fill="auto"/>
            <w:noWrap/>
            <w:vAlign w:val="bottom"/>
            <w:hideMark/>
          </w:tcPr>
          <w:p w14:paraId="1EC9DE47" w14:textId="77777777" w:rsidR="00775C09" w:rsidRDefault="00775C09" w:rsidP="005E25A4"/>
        </w:tc>
        <w:tc>
          <w:tcPr>
            <w:tcW w:w="549" w:type="pct"/>
            <w:tcBorders>
              <w:top w:val="nil"/>
              <w:left w:val="nil"/>
              <w:bottom w:val="nil"/>
              <w:right w:val="nil"/>
            </w:tcBorders>
            <w:shd w:val="clear" w:color="auto" w:fill="auto"/>
            <w:noWrap/>
            <w:vAlign w:val="bottom"/>
            <w:hideMark/>
          </w:tcPr>
          <w:p w14:paraId="416100A4" w14:textId="77777777" w:rsidR="00775C09" w:rsidRDefault="00775C09" w:rsidP="005E25A4"/>
        </w:tc>
      </w:tr>
      <w:tr w:rsidR="00775C09" w14:paraId="73CFB2B5" w14:textId="77777777" w:rsidTr="005E25A4">
        <w:trPr>
          <w:trHeight w:val="503"/>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77D2F620" w14:textId="3CD39FC9" w:rsidR="00775C09" w:rsidRDefault="001C3D41" w:rsidP="005E25A4">
            <w:pPr>
              <w:rPr>
                <w:rFonts w:cs="Arial"/>
                <w:b/>
                <w:bCs/>
                <w:color w:val="000000"/>
                <w:sz w:val="24"/>
                <w:szCs w:val="24"/>
              </w:rPr>
            </w:pPr>
            <w:r>
              <w:rPr>
                <w:rFonts w:cs="Arial"/>
                <w:b/>
                <w:bCs/>
                <w:color w:val="000000"/>
              </w:rPr>
              <w:t>T</w:t>
            </w:r>
            <w:r w:rsidR="00775C09">
              <w:rPr>
                <w:rFonts w:cs="Arial"/>
                <w:b/>
                <w:bCs/>
                <w:color w:val="000000"/>
              </w:rPr>
              <w:t>TF title: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73392F12" w14:textId="4512858E" w:rsidR="00775C09" w:rsidRDefault="00A83893" w:rsidP="005E25A4">
            <w:pPr>
              <w:jc w:val="left"/>
              <w:rPr>
                <w:rFonts w:cs="Arial"/>
                <w:color w:val="000000"/>
              </w:rPr>
            </w:pPr>
            <w:r>
              <w:rPr>
                <w:rStyle w:val="normaltextrun"/>
                <w:rFonts w:cs="Arial"/>
                <w:color w:val="000000"/>
                <w:shd w:val="clear" w:color="auto" w:fill="FFFFFF"/>
              </w:rPr>
              <w:t>TOP/TDL Enhancements for Better User Experience</w:t>
            </w:r>
          </w:p>
        </w:tc>
      </w:tr>
      <w:tr w:rsidR="00775C09" w14:paraId="750560ED" w14:textId="77777777" w:rsidTr="005E25A4">
        <w:trPr>
          <w:trHeight w:val="315"/>
        </w:trPr>
        <w:tc>
          <w:tcPr>
            <w:tcW w:w="849" w:type="pct"/>
            <w:tcBorders>
              <w:top w:val="nil"/>
              <w:left w:val="nil"/>
              <w:bottom w:val="nil"/>
              <w:right w:val="nil"/>
            </w:tcBorders>
            <w:shd w:val="clear" w:color="auto" w:fill="auto"/>
            <w:noWrap/>
            <w:vAlign w:val="center"/>
            <w:hideMark/>
          </w:tcPr>
          <w:p w14:paraId="0207BCA0"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7DDBE4C4" w14:textId="77777777" w:rsidR="00775C09" w:rsidRDefault="00775C09" w:rsidP="005E25A4"/>
        </w:tc>
        <w:tc>
          <w:tcPr>
            <w:tcW w:w="732" w:type="pct"/>
            <w:tcBorders>
              <w:top w:val="nil"/>
              <w:left w:val="nil"/>
              <w:bottom w:val="nil"/>
              <w:right w:val="nil"/>
            </w:tcBorders>
            <w:shd w:val="clear" w:color="auto" w:fill="auto"/>
            <w:noWrap/>
            <w:vAlign w:val="bottom"/>
            <w:hideMark/>
          </w:tcPr>
          <w:p w14:paraId="77E43E92" w14:textId="77777777" w:rsidR="00775C09" w:rsidRDefault="00775C09" w:rsidP="005E25A4"/>
        </w:tc>
        <w:tc>
          <w:tcPr>
            <w:tcW w:w="703" w:type="pct"/>
            <w:tcBorders>
              <w:top w:val="nil"/>
              <w:left w:val="nil"/>
              <w:bottom w:val="nil"/>
              <w:right w:val="nil"/>
            </w:tcBorders>
            <w:shd w:val="clear" w:color="auto" w:fill="auto"/>
            <w:noWrap/>
            <w:vAlign w:val="bottom"/>
            <w:hideMark/>
          </w:tcPr>
          <w:p w14:paraId="0A415244" w14:textId="77777777" w:rsidR="00775C09" w:rsidRDefault="00775C09" w:rsidP="005E25A4"/>
        </w:tc>
        <w:tc>
          <w:tcPr>
            <w:tcW w:w="1083" w:type="pct"/>
            <w:tcBorders>
              <w:top w:val="nil"/>
              <w:left w:val="nil"/>
              <w:bottom w:val="nil"/>
              <w:right w:val="nil"/>
            </w:tcBorders>
            <w:shd w:val="clear" w:color="auto" w:fill="auto"/>
            <w:noWrap/>
            <w:vAlign w:val="bottom"/>
            <w:hideMark/>
          </w:tcPr>
          <w:p w14:paraId="06FDAB7C" w14:textId="77777777" w:rsidR="00775C09" w:rsidRDefault="00775C09" w:rsidP="005E25A4"/>
        </w:tc>
        <w:tc>
          <w:tcPr>
            <w:tcW w:w="549" w:type="pct"/>
            <w:tcBorders>
              <w:top w:val="nil"/>
              <w:left w:val="nil"/>
              <w:bottom w:val="nil"/>
              <w:right w:val="nil"/>
            </w:tcBorders>
            <w:shd w:val="clear" w:color="auto" w:fill="auto"/>
            <w:noWrap/>
            <w:vAlign w:val="bottom"/>
            <w:hideMark/>
          </w:tcPr>
          <w:p w14:paraId="4CA8710A" w14:textId="77777777" w:rsidR="00775C09" w:rsidRDefault="00775C09" w:rsidP="005E25A4"/>
        </w:tc>
      </w:tr>
      <w:tr w:rsidR="00775C09" w14:paraId="08F8F007" w14:textId="77777777" w:rsidTr="005E25A4">
        <w:trPr>
          <w:trHeight w:val="300"/>
        </w:trPr>
        <w:tc>
          <w:tcPr>
            <w:tcW w:w="849" w:type="pct"/>
            <w:vMerge w:val="restart"/>
            <w:tcBorders>
              <w:top w:val="single" w:sz="8" w:space="0" w:color="auto"/>
              <w:left w:val="single" w:sz="8" w:space="0" w:color="auto"/>
              <w:bottom w:val="single" w:sz="8" w:space="0" w:color="000000"/>
              <w:right w:val="single" w:sz="8" w:space="0" w:color="auto"/>
            </w:tcBorders>
            <w:shd w:val="clear" w:color="000000" w:fill="F2F2F2"/>
            <w:vAlign w:val="center"/>
            <w:hideMark/>
          </w:tcPr>
          <w:p w14:paraId="6A644B32" w14:textId="77777777" w:rsidR="00775C09" w:rsidRDefault="00775C09" w:rsidP="005E25A4">
            <w:pPr>
              <w:rPr>
                <w:rFonts w:cs="Arial"/>
                <w:b/>
                <w:bCs/>
                <w:color w:val="000000"/>
                <w:sz w:val="24"/>
                <w:szCs w:val="24"/>
              </w:rPr>
            </w:pPr>
            <w:r>
              <w:rPr>
                <w:rFonts w:cs="Arial"/>
                <w:b/>
                <w:bCs/>
                <w:color w:val="000000"/>
              </w:rPr>
              <w:t>Milestone</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24A5BAF8" w14:textId="1C1DE16D" w:rsidR="00775C09" w:rsidRDefault="00A83893" w:rsidP="005E25A4">
            <w:pPr>
              <w:jc w:val="center"/>
              <w:rPr>
                <w:rFonts w:cs="Arial"/>
                <w:b/>
                <w:bCs/>
                <w:color w:val="000000"/>
              </w:rPr>
            </w:pPr>
            <w:r>
              <w:rPr>
                <w:rFonts w:cs="Arial"/>
                <w:b/>
                <w:bCs/>
                <w:color w:val="000000"/>
              </w:rPr>
              <w:t>B</w:t>
            </w:r>
          </w:p>
        </w:tc>
        <w:tc>
          <w:tcPr>
            <w:tcW w:w="732" w:type="pct"/>
            <w:vMerge w:val="restart"/>
            <w:tcBorders>
              <w:top w:val="single" w:sz="8" w:space="0" w:color="auto"/>
              <w:left w:val="single" w:sz="8" w:space="0" w:color="auto"/>
              <w:bottom w:val="nil"/>
              <w:right w:val="single" w:sz="8" w:space="0" w:color="auto"/>
            </w:tcBorders>
            <w:shd w:val="clear" w:color="000000" w:fill="F2F2F2"/>
            <w:vAlign w:val="center"/>
            <w:hideMark/>
          </w:tcPr>
          <w:p w14:paraId="050294F6" w14:textId="77777777" w:rsidR="00775C09" w:rsidRDefault="00775C09" w:rsidP="005E25A4">
            <w:pPr>
              <w:jc w:val="right"/>
              <w:rPr>
                <w:rFonts w:cs="Arial"/>
                <w:b/>
                <w:bCs/>
                <w:color w:val="000000"/>
              </w:rPr>
            </w:pPr>
            <w:r>
              <w:rPr>
                <w:rFonts w:cs="Arial"/>
                <w:b/>
                <w:bCs/>
                <w:color w:val="000000"/>
              </w:rPr>
              <w:t> </w:t>
            </w:r>
          </w:p>
        </w:tc>
        <w:tc>
          <w:tcPr>
            <w:tcW w:w="703" w:type="pct"/>
            <w:tcBorders>
              <w:top w:val="single" w:sz="8" w:space="0" w:color="auto"/>
              <w:left w:val="nil"/>
              <w:bottom w:val="nil"/>
              <w:right w:val="single" w:sz="8" w:space="0" w:color="auto"/>
            </w:tcBorders>
            <w:shd w:val="clear" w:color="000000" w:fill="F2F2F2"/>
            <w:vAlign w:val="center"/>
            <w:hideMark/>
          </w:tcPr>
          <w:p w14:paraId="4F19652D" w14:textId="77777777" w:rsidR="00775C09" w:rsidRDefault="00775C09" w:rsidP="005E25A4">
            <w:pPr>
              <w:jc w:val="center"/>
              <w:rPr>
                <w:rFonts w:cs="Arial"/>
                <w:b/>
                <w:bCs/>
                <w:color w:val="000000"/>
              </w:rPr>
            </w:pPr>
            <w:r>
              <w:rPr>
                <w:rFonts w:cs="Arial"/>
                <w:b/>
                <w:bCs/>
                <w:color w:val="000000"/>
              </w:rPr>
              <w:t>Status</w:t>
            </w:r>
          </w:p>
        </w:tc>
        <w:tc>
          <w:tcPr>
            <w:tcW w:w="1083" w:type="pct"/>
            <w:vMerge w:val="restart"/>
            <w:tcBorders>
              <w:top w:val="single" w:sz="8" w:space="0" w:color="auto"/>
              <w:left w:val="single" w:sz="8" w:space="0" w:color="auto"/>
              <w:bottom w:val="nil"/>
              <w:right w:val="single" w:sz="8" w:space="0" w:color="auto"/>
            </w:tcBorders>
            <w:shd w:val="clear" w:color="000000" w:fill="F2F2F2"/>
            <w:vAlign w:val="center"/>
            <w:hideMark/>
          </w:tcPr>
          <w:p w14:paraId="1C4B57F3" w14:textId="77777777" w:rsidR="00775C09" w:rsidRDefault="00775C09" w:rsidP="005E25A4">
            <w:pPr>
              <w:jc w:val="center"/>
              <w:rPr>
                <w:rFonts w:cs="Arial"/>
                <w:b/>
                <w:bCs/>
                <w:color w:val="000000"/>
              </w:rPr>
            </w:pPr>
            <w:r>
              <w:rPr>
                <w:rFonts w:cs="Arial"/>
                <w:b/>
                <w:bCs/>
                <w:color w:val="000000"/>
              </w:rPr>
              <w:t>Covers the period until (cut-off date)</w:t>
            </w:r>
          </w:p>
        </w:tc>
        <w:tc>
          <w:tcPr>
            <w:tcW w:w="549" w:type="pct"/>
            <w:vMerge w:val="restart"/>
            <w:tcBorders>
              <w:top w:val="single" w:sz="8" w:space="0" w:color="auto"/>
              <w:left w:val="single" w:sz="8" w:space="0" w:color="auto"/>
              <w:bottom w:val="nil"/>
              <w:right w:val="single" w:sz="8" w:space="0" w:color="auto"/>
            </w:tcBorders>
            <w:shd w:val="clear" w:color="000000" w:fill="F2F2F2"/>
            <w:vAlign w:val="center"/>
            <w:hideMark/>
          </w:tcPr>
          <w:p w14:paraId="1179CEA3" w14:textId="6CBF31E2" w:rsidR="00775C09" w:rsidRPr="0099084E" w:rsidRDefault="00A83893" w:rsidP="005E25A4">
            <w:pPr>
              <w:jc w:val="center"/>
              <w:rPr>
                <w:rFonts w:cs="Arial"/>
                <w:color w:val="000000"/>
              </w:rPr>
            </w:pPr>
            <w:r>
              <w:rPr>
                <w:rFonts w:cs="Arial"/>
                <w:color w:val="000000"/>
              </w:rPr>
              <w:t>3</w:t>
            </w:r>
            <w:r>
              <w:t>1 JAN 2023</w:t>
            </w:r>
          </w:p>
        </w:tc>
      </w:tr>
      <w:tr w:rsidR="00775C09" w14:paraId="6016BEB3" w14:textId="77777777" w:rsidTr="005E25A4">
        <w:trPr>
          <w:trHeight w:val="315"/>
        </w:trPr>
        <w:tc>
          <w:tcPr>
            <w:tcW w:w="849" w:type="pct"/>
            <w:vMerge/>
            <w:tcBorders>
              <w:top w:val="single" w:sz="8" w:space="0" w:color="auto"/>
              <w:left w:val="single" w:sz="8" w:space="0" w:color="auto"/>
              <w:bottom w:val="single" w:sz="8" w:space="0" w:color="000000"/>
              <w:right w:val="single" w:sz="8" w:space="0" w:color="auto"/>
            </w:tcBorders>
            <w:vAlign w:val="center"/>
            <w:hideMark/>
          </w:tcPr>
          <w:p w14:paraId="511CE17B" w14:textId="77777777" w:rsidR="00775C09" w:rsidRDefault="00775C09" w:rsidP="005E25A4">
            <w:pPr>
              <w:rPr>
                <w:rFonts w:cs="Arial"/>
                <w:b/>
                <w:bCs/>
                <w:color w:val="000000"/>
                <w:sz w:val="24"/>
                <w:szCs w:val="24"/>
              </w:rPr>
            </w:pPr>
          </w:p>
        </w:tc>
        <w:tc>
          <w:tcPr>
            <w:tcW w:w="1083" w:type="pct"/>
            <w:vMerge/>
            <w:tcBorders>
              <w:top w:val="single" w:sz="8" w:space="0" w:color="auto"/>
              <w:left w:val="single" w:sz="8" w:space="0" w:color="auto"/>
              <w:bottom w:val="nil"/>
              <w:right w:val="single" w:sz="8" w:space="0" w:color="auto"/>
            </w:tcBorders>
            <w:vAlign w:val="center"/>
            <w:hideMark/>
          </w:tcPr>
          <w:p w14:paraId="5C031A93" w14:textId="77777777" w:rsidR="00775C09" w:rsidRDefault="00775C09" w:rsidP="005E25A4">
            <w:pPr>
              <w:rPr>
                <w:rFonts w:cs="Arial"/>
                <w:b/>
                <w:bCs/>
                <w:color w:val="000000"/>
                <w:sz w:val="24"/>
                <w:szCs w:val="24"/>
              </w:rPr>
            </w:pPr>
          </w:p>
        </w:tc>
        <w:tc>
          <w:tcPr>
            <w:tcW w:w="732" w:type="pct"/>
            <w:vMerge/>
            <w:tcBorders>
              <w:top w:val="single" w:sz="8" w:space="0" w:color="auto"/>
              <w:left w:val="single" w:sz="8" w:space="0" w:color="auto"/>
              <w:bottom w:val="nil"/>
              <w:right w:val="single" w:sz="8" w:space="0" w:color="auto"/>
            </w:tcBorders>
            <w:vAlign w:val="center"/>
            <w:hideMark/>
          </w:tcPr>
          <w:p w14:paraId="7E1F7302" w14:textId="77777777" w:rsidR="00775C09" w:rsidRDefault="00775C09" w:rsidP="005E25A4">
            <w:pPr>
              <w:rPr>
                <w:rFonts w:cs="Arial"/>
                <w:b/>
                <w:bCs/>
                <w:color w:val="000000"/>
              </w:rPr>
            </w:pPr>
          </w:p>
        </w:tc>
        <w:tc>
          <w:tcPr>
            <w:tcW w:w="703" w:type="pct"/>
            <w:tcBorders>
              <w:top w:val="nil"/>
              <w:left w:val="nil"/>
              <w:bottom w:val="nil"/>
              <w:right w:val="single" w:sz="8" w:space="0" w:color="auto"/>
            </w:tcBorders>
            <w:shd w:val="clear" w:color="000000" w:fill="F2F2F2"/>
            <w:vAlign w:val="center"/>
            <w:hideMark/>
          </w:tcPr>
          <w:p w14:paraId="178C0C5D" w14:textId="77777777" w:rsidR="00775C09" w:rsidRDefault="00775C09" w:rsidP="005E25A4">
            <w:pPr>
              <w:jc w:val="center"/>
              <w:rPr>
                <w:rFonts w:cs="Arial"/>
                <w:color w:val="000000"/>
              </w:rPr>
            </w:pPr>
            <w:r>
              <w:rPr>
                <w:rFonts w:cs="Arial"/>
                <w:b/>
                <w:bCs/>
                <w:color w:val="000000"/>
              </w:rPr>
              <w:t>Template</w:t>
            </w:r>
          </w:p>
        </w:tc>
        <w:tc>
          <w:tcPr>
            <w:tcW w:w="1083" w:type="pct"/>
            <w:vMerge/>
            <w:tcBorders>
              <w:top w:val="single" w:sz="8" w:space="0" w:color="auto"/>
              <w:left w:val="single" w:sz="8" w:space="0" w:color="auto"/>
              <w:bottom w:val="nil"/>
              <w:right w:val="single" w:sz="8" w:space="0" w:color="auto"/>
            </w:tcBorders>
            <w:vAlign w:val="center"/>
            <w:hideMark/>
          </w:tcPr>
          <w:p w14:paraId="72C31057" w14:textId="77777777" w:rsidR="00775C09" w:rsidRDefault="00775C09" w:rsidP="005E25A4">
            <w:pPr>
              <w:rPr>
                <w:rFonts w:cs="Arial"/>
                <w:b/>
                <w:bCs/>
                <w:color w:val="000000"/>
              </w:rPr>
            </w:pPr>
          </w:p>
        </w:tc>
        <w:tc>
          <w:tcPr>
            <w:tcW w:w="549" w:type="pct"/>
            <w:vMerge/>
            <w:tcBorders>
              <w:top w:val="single" w:sz="8" w:space="0" w:color="auto"/>
              <w:left w:val="single" w:sz="8" w:space="0" w:color="auto"/>
              <w:bottom w:val="nil"/>
              <w:right w:val="single" w:sz="8" w:space="0" w:color="auto"/>
            </w:tcBorders>
            <w:vAlign w:val="center"/>
            <w:hideMark/>
          </w:tcPr>
          <w:p w14:paraId="4056E187" w14:textId="77777777" w:rsidR="00775C09" w:rsidRDefault="00775C09" w:rsidP="005E25A4">
            <w:pPr>
              <w:rPr>
                <w:rFonts w:cs="Arial"/>
                <w:color w:val="000000"/>
              </w:rPr>
            </w:pPr>
          </w:p>
        </w:tc>
      </w:tr>
      <w:tr w:rsidR="00775C09" w14:paraId="538DB11B" w14:textId="77777777" w:rsidTr="005E25A4">
        <w:trPr>
          <w:trHeight w:val="1020"/>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639EBDE1" w14:textId="77777777" w:rsidR="00775C09" w:rsidRDefault="00775C09" w:rsidP="005E25A4">
            <w:pPr>
              <w:rPr>
                <w:rFonts w:cs="Arial"/>
                <w:b/>
                <w:bCs/>
                <w:color w:val="000000"/>
                <w:sz w:val="24"/>
                <w:szCs w:val="24"/>
              </w:rPr>
            </w:pPr>
            <w:r>
              <w:rPr>
                <w:rFonts w:cs="Arial"/>
                <w:b/>
                <w:bCs/>
                <w:color w:val="000000"/>
              </w:rPr>
              <w:t>Objective</w:t>
            </w:r>
          </w:p>
        </w:tc>
        <w:tc>
          <w:tcPr>
            <w:tcW w:w="4151" w:type="pct"/>
            <w:gridSpan w:val="5"/>
            <w:tcBorders>
              <w:top w:val="single" w:sz="8" w:space="0" w:color="auto"/>
              <w:left w:val="nil"/>
              <w:bottom w:val="single" w:sz="8" w:space="0" w:color="auto"/>
              <w:right w:val="single" w:sz="8" w:space="0" w:color="000000"/>
            </w:tcBorders>
            <w:shd w:val="clear" w:color="000000" w:fill="F2F2F2"/>
            <w:vAlign w:val="center"/>
            <w:hideMark/>
          </w:tcPr>
          <w:p w14:paraId="5D5DA8AE" w14:textId="77777777" w:rsidR="00A83893" w:rsidRPr="00A83893" w:rsidRDefault="00A83893" w:rsidP="00A83893">
            <w:pPr>
              <w:rPr>
                <w:rFonts w:cs="Arial"/>
                <w:color w:val="000000"/>
              </w:rPr>
            </w:pPr>
            <w:r w:rsidRPr="00A83893">
              <w:rPr>
                <w:rFonts w:cs="Arial"/>
                <w:color w:val="000000"/>
              </w:rPr>
              <w:t xml:space="preserve">Second progress report to TC MTS </w:t>
            </w:r>
          </w:p>
          <w:p w14:paraId="6D1D0B14" w14:textId="77777777" w:rsidR="00A83893" w:rsidRPr="00A83893" w:rsidRDefault="00A83893" w:rsidP="00A83893">
            <w:pPr>
              <w:rPr>
                <w:rFonts w:cs="Arial"/>
                <w:color w:val="000000"/>
              </w:rPr>
            </w:pPr>
            <w:r w:rsidRPr="00A83893">
              <w:rPr>
                <w:rFonts w:cs="Arial"/>
                <w:color w:val="000000"/>
              </w:rPr>
              <w:t xml:space="preserve">Stable drafts to be accepted by TC MTS </w:t>
            </w:r>
          </w:p>
          <w:p w14:paraId="5BE74D4F" w14:textId="0E3EDF60" w:rsidR="00775C09" w:rsidRDefault="00A83893" w:rsidP="00A83893">
            <w:pPr>
              <w:rPr>
                <w:rFonts w:cs="Arial"/>
                <w:color w:val="000000"/>
              </w:rPr>
            </w:pPr>
            <w:r w:rsidRPr="00A83893">
              <w:rPr>
                <w:rFonts w:cs="Arial"/>
                <w:color w:val="000000"/>
              </w:rPr>
              <w:t>Second TOP tool feasibility demo</w:t>
            </w:r>
          </w:p>
        </w:tc>
      </w:tr>
      <w:tr w:rsidR="00775C09" w14:paraId="59ECF65F" w14:textId="77777777" w:rsidTr="005E25A4">
        <w:trPr>
          <w:trHeight w:val="300"/>
        </w:trPr>
        <w:tc>
          <w:tcPr>
            <w:tcW w:w="849" w:type="pct"/>
            <w:vMerge w:val="restart"/>
            <w:tcBorders>
              <w:top w:val="nil"/>
              <w:left w:val="single" w:sz="8" w:space="0" w:color="auto"/>
              <w:bottom w:val="single" w:sz="8" w:space="0" w:color="000000"/>
              <w:right w:val="single" w:sz="8" w:space="0" w:color="auto"/>
            </w:tcBorders>
            <w:shd w:val="clear" w:color="auto" w:fill="auto"/>
            <w:vAlign w:val="center"/>
            <w:hideMark/>
          </w:tcPr>
          <w:p w14:paraId="7DD037BD" w14:textId="77777777" w:rsidR="00775C09" w:rsidRDefault="00775C09" w:rsidP="005E25A4">
            <w:pPr>
              <w:rPr>
                <w:rFonts w:cs="Arial"/>
                <w:b/>
                <w:bCs/>
                <w:color w:val="000000"/>
              </w:rPr>
            </w:pPr>
            <w:r>
              <w:rPr>
                <w:rFonts w:cs="Arial"/>
                <w:b/>
                <w:bCs/>
                <w:color w:val="000000"/>
              </w:rPr>
              <w:t>Achieved</w:t>
            </w:r>
          </w:p>
        </w:tc>
        <w:tc>
          <w:tcPr>
            <w:tcW w:w="1083" w:type="pct"/>
            <w:vMerge w:val="restart"/>
            <w:tcBorders>
              <w:top w:val="nil"/>
              <w:left w:val="single" w:sz="8" w:space="0" w:color="auto"/>
              <w:bottom w:val="single" w:sz="8" w:space="0" w:color="000000"/>
              <w:right w:val="single" w:sz="8" w:space="0" w:color="auto"/>
            </w:tcBorders>
            <w:shd w:val="clear" w:color="auto" w:fill="auto"/>
            <w:vAlign w:val="center"/>
            <w:hideMark/>
          </w:tcPr>
          <w:p w14:paraId="37F7532F" w14:textId="7C2042D3" w:rsidR="00775C09" w:rsidRDefault="003E7969" w:rsidP="005E25A4">
            <w:pPr>
              <w:rPr>
                <w:rFonts w:cs="Arial"/>
                <w:color w:val="000000"/>
              </w:rPr>
            </w:pPr>
            <w:r>
              <w:rPr>
                <w:rFonts w:cs="Arial"/>
                <w:color w:val="000000"/>
              </w:rPr>
              <w:t>No</w:t>
            </w:r>
          </w:p>
        </w:tc>
        <w:tc>
          <w:tcPr>
            <w:tcW w:w="3067" w:type="pct"/>
            <w:gridSpan w:val="4"/>
            <w:tcBorders>
              <w:top w:val="single" w:sz="8" w:space="0" w:color="auto"/>
              <w:left w:val="nil"/>
              <w:bottom w:val="nil"/>
              <w:right w:val="single" w:sz="8" w:space="0" w:color="000000"/>
            </w:tcBorders>
            <w:shd w:val="clear" w:color="auto" w:fill="auto"/>
            <w:vAlign w:val="center"/>
          </w:tcPr>
          <w:p w14:paraId="263EFFED" w14:textId="77777777" w:rsidR="00775C09" w:rsidRDefault="00775C09" w:rsidP="005E25A4">
            <w:pPr>
              <w:rPr>
                <w:rFonts w:cs="Arial"/>
                <w:i/>
                <w:iCs/>
                <w:color w:val="000000"/>
              </w:rPr>
            </w:pPr>
          </w:p>
        </w:tc>
      </w:tr>
      <w:tr w:rsidR="00775C09" w14:paraId="559C039B" w14:textId="77777777" w:rsidTr="005E25A4">
        <w:trPr>
          <w:trHeight w:val="315"/>
        </w:trPr>
        <w:tc>
          <w:tcPr>
            <w:tcW w:w="849" w:type="pct"/>
            <w:vMerge/>
            <w:tcBorders>
              <w:top w:val="nil"/>
              <w:left w:val="single" w:sz="8" w:space="0" w:color="auto"/>
              <w:bottom w:val="single" w:sz="8" w:space="0" w:color="000000"/>
              <w:right w:val="single" w:sz="8" w:space="0" w:color="auto"/>
            </w:tcBorders>
            <w:vAlign w:val="center"/>
            <w:hideMark/>
          </w:tcPr>
          <w:p w14:paraId="72B47B17" w14:textId="77777777" w:rsidR="00775C09" w:rsidRDefault="00775C09" w:rsidP="005E25A4">
            <w:pPr>
              <w:rPr>
                <w:rFonts w:cs="Arial"/>
                <w:b/>
                <w:bCs/>
                <w:color w:val="000000"/>
              </w:rPr>
            </w:pPr>
          </w:p>
        </w:tc>
        <w:tc>
          <w:tcPr>
            <w:tcW w:w="1083" w:type="pct"/>
            <w:vMerge/>
            <w:tcBorders>
              <w:top w:val="nil"/>
              <w:left w:val="single" w:sz="8" w:space="0" w:color="auto"/>
              <w:bottom w:val="single" w:sz="8" w:space="0" w:color="000000"/>
              <w:right w:val="single" w:sz="8" w:space="0" w:color="auto"/>
            </w:tcBorders>
            <w:vAlign w:val="center"/>
            <w:hideMark/>
          </w:tcPr>
          <w:p w14:paraId="10E326BB" w14:textId="77777777" w:rsidR="00775C09" w:rsidRDefault="00775C09" w:rsidP="005E25A4">
            <w:pPr>
              <w:rPr>
                <w:rFonts w:cs="Arial"/>
                <w:color w:val="000000"/>
              </w:rPr>
            </w:pPr>
          </w:p>
        </w:tc>
        <w:tc>
          <w:tcPr>
            <w:tcW w:w="3067" w:type="pct"/>
            <w:gridSpan w:val="4"/>
            <w:tcBorders>
              <w:top w:val="nil"/>
              <w:left w:val="nil"/>
              <w:bottom w:val="single" w:sz="8" w:space="0" w:color="auto"/>
              <w:right w:val="single" w:sz="8" w:space="0" w:color="000000"/>
            </w:tcBorders>
            <w:shd w:val="clear" w:color="auto" w:fill="auto"/>
            <w:vAlign w:val="center"/>
          </w:tcPr>
          <w:p w14:paraId="755193B2" w14:textId="77777777" w:rsidR="00775C09" w:rsidRDefault="00775C09" w:rsidP="005E25A4">
            <w:pPr>
              <w:rPr>
                <w:rFonts w:cs="Arial"/>
                <w:i/>
                <w:iCs/>
                <w:color w:val="000000"/>
              </w:rPr>
            </w:pPr>
          </w:p>
        </w:tc>
      </w:tr>
      <w:tr w:rsidR="00775C09" w14:paraId="4A95E6B7" w14:textId="77777777" w:rsidTr="005E25A4">
        <w:trPr>
          <w:trHeight w:val="315"/>
        </w:trPr>
        <w:tc>
          <w:tcPr>
            <w:tcW w:w="849" w:type="pct"/>
            <w:tcBorders>
              <w:top w:val="nil"/>
              <w:left w:val="single" w:sz="8" w:space="0" w:color="auto"/>
              <w:bottom w:val="single" w:sz="8" w:space="0" w:color="auto"/>
              <w:right w:val="single" w:sz="8" w:space="0" w:color="auto"/>
            </w:tcBorders>
            <w:shd w:val="clear" w:color="auto" w:fill="auto"/>
            <w:vAlign w:val="center"/>
            <w:hideMark/>
          </w:tcPr>
          <w:p w14:paraId="5D433988" w14:textId="77777777" w:rsidR="00775C09" w:rsidRDefault="00775C09" w:rsidP="005E25A4">
            <w:pPr>
              <w:jc w:val="left"/>
              <w:rPr>
                <w:rFonts w:cs="Arial"/>
                <w:b/>
                <w:bCs/>
                <w:color w:val="000000"/>
              </w:rPr>
            </w:pPr>
            <w:r>
              <w:rPr>
                <w:rFonts w:cs="Arial"/>
                <w:b/>
                <w:bCs/>
                <w:color w:val="000000"/>
              </w:rPr>
              <w:t>Remarks</w:t>
            </w:r>
          </w:p>
        </w:tc>
        <w:tc>
          <w:tcPr>
            <w:tcW w:w="4151" w:type="pct"/>
            <w:gridSpan w:val="5"/>
            <w:tcBorders>
              <w:top w:val="single" w:sz="8" w:space="0" w:color="auto"/>
              <w:left w:val="nil"/>
              <w:bottom w:val="single" w:sz="8" w:space="0" w:color="auto"/>
              <w:right w:val="single" w:sz="8" w:space="0" w:color="000000"/>
            </w:tcBorders>
            <w:shd w:val="clear" w:color="auto" w:fill="auto"/>
            <w:vAlign w:val="center"/>
            <w:hideMark/>
          </w:tcPr>
          <w:p w14:paraId="770309A5" w14:textId="77777777" w:rsidR="00775C09" w:rsidRDefault="00775C09" w:rsidP="005E25A4">
            <w:pPr>
              <w:rPr>
                <w:rFonts w:cs="Arial"/>
                <w:color w:val="000000"/>
              </w:rPr>
            </w:pPr>
            <w:r>
              <w:rPr>
                <w:rFonts w:cs="Arial"/>
                <w:color w:val="000000"/>
              </w:rPr>
              <w:t>---</w:t>
            </w:r>
          </w:p>
        </w:tc>
      </w:tr>
      <w:tr w:rsidR="00775C09" w14:paraId="269911AA" w14:textId="77777777" w:rsidTr="005E25A4">
        <w:trPr>
          <w:trHeight w:val="300"/>
        </w:trPr>
        <w:tc>
          <w:tcPr>
            <w:tcW w:w="849" w:type="pct"/>
            <w:tcBorders>
              <w:top w:val="nil"/>
              <w:left w:val="nil"/>
              <w:bottom w:val="nil"/>
              <w:right w:val="nil"/>
            </w:tcBorders>
            <w:shd w:val="clear" w:color="auto" w:fill="auto"/>
            <w:noWrap/>
            <w:vAlign w:val="center"/>
            <w:hideMark/>
          </w:tcPr>
          <w:p w14:paraId="73C0EA58"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4AEB3970" w14:textId="77777777" w:rsidR="00775C09" w:rsidRDefault="00775C09" w:rsidP="005E25A4"/>
        </w:tc>
        <w:tc>
          <w:tcPr>
            <w:tcW w:w="732" w:type="pct"/>
            <w:tcBorders>
              <w:top w:val="nil"/>
              <w:left w:val="nil"/>
              <w:bottom w:val="nil"/>
              <w:right w:val="nil"/>
            </w:tcBorders>
            <w:shd w:val="clear" w:color="auto" w:fill="auto"/>
            <w:noWrap/>
            <w:vAlign w:val="bottom"/>
            <w:hideMark/>
          </w:tcPr>
          <w:p w14:paraId="3D07671D" w14:textId="77777777" w:rsidR="00775C09" w:rsidRDefault="00775C09" w:rsidP="005E25A4"/>
        </w:tc>
        <w:tc>
          <w:tcPr>
            <w:tcW w:w="703" w:type="pct"/>
            <w:tcBorders>
              <w:top w:val="nil"/>
              <w:left w:val="nil"/>
              <w:bottom w:val="nil"/>
              <w:right w:val="nil"/>
            </w:tcBorders>
            <w:shd w:val="clear" w:color="auto" w:fill="auto"/>
            <w:noWrap/>
            <w:vAlign w:val="bottom"/>
            <w:hideMark/>
          </w:tcPr>
          <w:p w14:paraId="600B8CD0" w14:textId="77777777" w:rsidR="00775C09" w:rsidRDefault="00775C09" w:rsidP="005E25A4"/>
        </w:tc>
        <w:tc>
          <w:tcPr>
            <w:tcW w:w="1083" w:type="pct"/>
            <w:tcBorders>
              <w:top w:val="nil"/>
              <w:left w:val="nil"/>
              <w:bottom w:val="nil"/>
              <w:right w:val="nil"/>
            </w:tcBorders>
            <w:shd w:val="clear" w:color="auto" w:fill="auto"/>
            <w:noWrap/>
            <w:vAlign w:val="bottom"/>
            <w:hideMark/>
          </w:tcPr>
          <w:p w14:paraId="3625FA21" w14:textId="77777777" w:rsidR="00775C09" w:rsidRDefault="00775C09" w:rsidP="005E25A4"/>
        </w:tc>
        <w:tc>
          <w:tcPr>
            <w:tcW w:w="549" w:type="pct"/>
            <w:tcBorders>
              <w:top w:val="nil"/>
              <w:left w:val="nil"/>
              <w:bottom w:val="nil"/>
              <w:right w:val="nil"/>
            </w:tcBorders>
            <w:shd w:val="clear" w:color="auto" w:fill="auto"/>
            <w:noWrap/>
            <w:vAlign w:val="bottom"/>
            <w:hideMark/>
          </w:tcPr>
          <w:p w14:paraId="69F99369" w14:textId="77777777" w:rsidR="00775C09" w:rsidRDefault="00775C09" w:rsidP="005E25A4"/>
        </w:tc>
      </w:tr>
      <w:tr w:rsidR="00775C09" w14:paraId="6FBB8AE4" w14:textId="77777777" w:rsidTr="005E25A4">
        <w:trPr>
          <w:trHeight w:val="315"/>
        </w:trPr>
        <w:tc>
          <w:tcPr>
            <w:tcW w:w="849" w:type="pct"/>
            <w:tcBorders>
              <w:top w:val="nil"/>
              <w:left w:val="nil"/>
              <w:bottom w:val="nil"/>
              <w:right w:val="nil"/>
            </w:tcBorders>
            <w:shd w:val="clear" w:color="auto" w:fill="auto"/>
            <w:noWrap/>
            <w:vAlign w:val="center"/>
            <w:hideMark/>
          </w:tcPr>
          <w:p w14:paraId="59477D86" w14:textId="77777777" w:rsidR="00775C09" w:rsidRDefault="00775C09" w:rsidP="005E25A4">
            <w:pPr>
              <w:rPr>
                <w:rFonts w:cs="Arial"/>
                <w:b/>
                <w:bCs/>
                <w:color w:val="000000"/>
              </w:rPr>
            </w:pPr>
            <w:r>
              <w:rPr>
                <w:rFonts w:cs="Arial"/>
                <w:b/>
                <w:bCs/>
                <w:color w:val="000000"/>
              </w:rPr>
              <w:t>Achieved dates</w:t>
            </w:r>
          </w:p>
        </w:tc>
        <w:tc>
          <w:tcPr>
            <w:tcW w:w="1083" w:type="pct"/>
            <w:tcBorders>
              <w:top w:val="nil"/>
              <w:left w:val="nil"/>
              <w:bottom w:val="nil"/>
              <w:right w:val="nil"/>
            </w:tcBorders>
            <w:shd w:val="clear" w:color="auto" w:fill="auto"/>
            <w:noWrap/>
            <w:vAlign w:val="bottom"/>
            <w:hideMark/>
          </w:tcPr>
          <w:p w14:paraId="26A7648F" w14:textId="77777777" w:rsidR="00775C09" w:rsidRDefault="00775C09" w:rsidP="005E25A4">
            <w:pPr>
              <w:rPr>
                <w:rFonts w:cs="Arial"/>
                <w:b/>
                <w:bCs/>
                <w:color w:val="000000"/>
              </w:rPr>
            </w:pPr>
          </w:p>
        </w:tc>
        <w:tc>
          <w:tcPr>
            <w:tcW w:w="732" w:type="pct"/>
            <w:tcBorders>
              <w:top w:val="nil"/>
              <w:left w:val="nil"/>
              <w:bottom w:val="nil"/>
              <w:right w:val="nil"/>
            </w:tcBorders>
            <w:shd w:val="clear" w:color="auto" w:fill="auto"/>
            <w:noWrap/>
            <w:vAlign w:val="bottom"/>
            <w:hideMark/>
          </w:tcPr>
          <w:p w14:paraId="7EC9847B" w14:textId="77777777" w:rsidR="00775C09" w:rsidRDefault="00775C09" w:rsidP="005E25A4"/>
        </w:tc>
        <w:tc>
          <w:tcPr>
            <w:tcW w:w="703" w:type="pct"/>
            <w:tcBorders>
              <w:top w:val="nil"/>
              <w:left w:val="nil"/>
              <w:bottom w:val="nil"/>
              <w:right w:val="nil"/>
            </w:tcBorders>
            <w:shd w:val="clear" w:color="auto" w:fill="auto"/>
            <w:noWrap/>
            <w:vAlign w:val="bottom"/>
            <w:hideMark/>
          </w:tcPr>
          <w:p w14:paraId="13EC6E47" w14:textId="77777777" w:rsidR="00775C09" w:rsidRDefault="00775C09" w:rsidP="005E25A4"/>
        </w:tc>
        <w:tc>
          <w:tcPr>
            <w:tcW w:w="1083" w:type="pct"/>
            <w:tcBorders>
              <w:top w:val="nil"/>
              <w:left w:val="nil"/>
              <w:bottom w:val="nil"/>
              <w:right w:val="nil"/>
            </w:tcBorders>
            <w:shd w:val="clear" w:color="auto" w:fill="auto"/>
            <w:noWrap/>
            <w:vAlign w:val="bottom"/>
            <w:hideMark/>
          </w:tcPr>
          <w:p w14:paraId="704F5C8D" w14:textId="77777777" w:rsidR="00775C09" w:rsidRDefault="00775C09" w:rsidP="005E25A4"/>
        </w:tc>
        <w:tc>
          <w:tcPr>
            <w:tcW w:w="549" w:type="pct"/>
            <w:tcBorders>
              <w:top w:val="nil"/>
              <w:left w:val="nil"/>
              <w:bottom w:val="nil"/>
              <w:right w:val="nil"/>
            </w:tcBorders>
            <w:shd w:val="clear" w:color="auto" w:fill="auto"/>
            <w:noWrap/>
            <w:vAlign w:val="bottom"/>
            <w:hideMark/>
          </w:tcPr>
          <w:p w14:paraId="2F9E875B" w14:textId="77777777" w:rsidR="00775C09" w:rsidRDefault="00775C09" w:rsidP="005E25A4"/>
        </w:tc>
      </w:tr>
      <w:tr w:rsidR="00775C09" w14:paraId="7781D802" w14:textId="77777777" w:rsidTr="005E25A4">
        <w:trPr>
          <w:trHeight w:val="315"/>
        </w:trPr>
        <w:tc>
          <w:tcPr>
            <w:tcW w:w="849" w:type="pct"/>
            <w:tcBorders>
              <w:top w:val="single" w:sz="8" w:space="0" w:color="auto"/>
              <w:left w:val="single" w:sz="8" w:space="0" w:color="auto"/>
              <w:bottom w:val="single" w:sz="8" w:space="0" w:color="auto"/>
              <w:right w:val="single" w:sz="8" w:space="0" w:color="auto"/>
            </w:tcBorders>
            <w:shd w:val="clear" w:color="000000" w:fill="F2F2F2"/>
            <w:vAlign w:val="center"/>
            <w:hideMark/>
          </w:tcPr>
          <w:p w14:paraId="08CC4F0F" w14:textId="77777777" w:rsidR="00775C09" w:rsidRDefault="00775C09" w:rsidP="005E25A4">
            <w:pPr>
              <w:jc w:val="center"/>
              <w:rPr>
                <w:rFonts w:cs="Arial"/>
                <w:b/>
                <w:bCs/>
                <w:color w:val="000000"/>
              </w:rPr>
            </w:pPr>
            <w:r>
              <w:rPr>
                <w:rFonts w:cs="Arial"/>
                <w:b/>
                <w:bCs/>
                <w:color w:val="000000"/>
              </w:rPr>
              <w:t>Template</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1019A3D" w14:textId="77777777" w:rsidR="00775C09" w:rsidRDefault="00775C09" w:rsidP="005E25A4">
            <w:pPr>
              <w:jc w:val="center"/>
              <w:rPr>
                <w:rFonts w:cs="Arial"/>
                <w:b/>
                <w:bCs/>
                <w:color w:val="000000"/>
              </w:rPr>
            </w:pPr>
            <w:r>
              <w:rPr>
                <w:rFonts w:cs="Arial"/>
                <w:b/>
                <w:bCs/>
                <w:color w:val="000000"/>
              </w:rPr>
              <w:t>Draft report</w:t>
            </w:r>
          </w:p>
        </w:tc>
        <w:tc>
          <w:tcPr>
            <w:tcW w:w="732" w:type="pct"/>
            <w:tcBorders>
              <w:top w:val="single" w:sz="8" w:space="0" w:color="auto"/>
              <w:left w:val="nil"/>
              <w:bottom w:val="single" w:sz="8" w:space="0" w:color="auto"/>
              <w:right w:val="single" w:sz="8" w:space="0" w:color="auto"/>
            </w:tcBorders>
            <w:shd w:val="clear" w:color="000000" w:fill="F2F2F2"/>
            <w:vAlign w:val="center"/>
            <w:hideMark/>
          </w:tcPr>
          <w:p w14:paraId="5586DAF1" w14:textId="77777777" w:rsidR="00775C09" w:rsidRDefault="00775C09" w:rsidP="005E25A4">
            <w:pPr>
              <w:jc w:val="center"/>
              <w:rPr>
                <w:rFonts w:cs="Arial"/>
                <w:b/>
                <w:bCs/>
                <w:color w:val="000000"/>
              </w:rPr>
            </w:pPr>
            <w:r>
              <w:rPr>
                <w:rFonts w:cs="Arial"/>
                <w:b/>
                <w:bCs/>
                <w:color w:val="000000"/>
              </w:rPr>
              <w:t>TB approval</w:t>
            </w:r>
          </w:p>
        </w:tc>
        <w:tc>
          <w:tcPr>
            <w:tcW w:w="703" w:type="pct"/>
            <w:tcBorders>
              <w:top w:val="single" w:sz="8" w:space="0" w:color="auto"/>
              <w:left w:val="nil"/>
              <w:bottom w:val="single" w:sz="8" w:space="0" w:color="auto"/>
              <w:right w:val="single" w:sz="8" w:space="0" w:color="auto"/>
            </w:tcBorders>
            <w:shd w:val="clear" w:color="000000" w:fill="F2F2F2"/>
            <w:vAlign w:val="center"/>
            <w:hideMark/>
          </w:tcPr>
          <w:p w14:paraId="318A4603" w14:textId="77777777" w:rsidR="00775C09" w:rsidRDefault="00775C09" w:rsidP="005E25A4">
            <w:pPr>
              <w:jc w:val="center"/>
              <w:rPr>
                <w:rFonts w:cs="Arial"/>
                <w:b/>
                <w:bCs/>
                <w:color w:val="000000"/>
              </w:rPr>
            </w:pPr>
            <w:r>
              <w:rPr>
                <w:rFonts w:cs="Arial"/>
                <w:b/>
                <w:bCs/>
                <w:color w:val="000000"/>
              </w:rPr>
              <w:t>ETSI approval</w:t>
            </w:r>
          </w:p>
        </w:tc>
        <w:tc>
          <w:tcPr>
            <w:tcW w:w="1083" w:type="pct"/>
            <w:tcBorders>
              <w:top w:val="single" w:sz="8" w:space="0" w:color="auto"/>
              <w:left w:val="nil"/>
              <w:bottom w:val="single" w:sz="8" w:space="0" w:color="auto"/>
              <w:right w:val="single" w:sz="8" w:space="0" w:color="auto"/>
            </w:tcBorders>
            <w:shd w:val="clear" w:color="000000" w:fill="F2F2F2"/>
            <w:vAlign w:val="center"/>
            <w:hideMark/>
          </w:tcPr>
          <w:p w14:paraId="20ACC19A" w14:textId="77777777" w:rsidR="00775C09" w:rsidRDefault="00775C09" w:rsidP="005E25A4">
            <w:pPr>
              <w:jc w:val="center"/>
              <w:rPr>
                <w:rFonts w:cs="Arial"/>
                <w:b/>
                <w:bCs/>
                <w:color w:val="000000"/>
              </w:rPr>
            </w:pPr>
            <w:r>
              <w:rPr>
                <w:rFonts w:cs="Arial"/>
                <w:b/>
                <w:bCs/>
                <w:color w:val="000000"/>
              </w:rPr>
              <w:t> </w:t>
            </w:r>
          </w:p>
        </w:tc>
        <w:tc>
          <w:tcPr>
            <w:tcW w:w="549" w:type="pct"/>
            <w:tcBorders>
              <w:top w:val="single" w:sz="8" w:space="0" w:color="auto"/>
              <w:left w:val="nil"/>
              <w:bottom w:val="single" w:sz="8" w:space="0" w:color="auto"/>
              <w:right w:val="single" w:sz="8" w:space="0" w:color="auto"/>
            </w:tcBorders>
            <w:shd w:val="clear" w:color="000000" w:fill="F2F2F2"/>
            <w:vAlign w:val="center"/>
            <w:hideMark/>
          </w:tcPr>
          <w:p w14:paraId="1E8BE2A0" w14:textId="77777777" w:rsidR="00775C09" w:rsidRDefault="00775C09" w:rsidP="005E25A4">
            <w:pPr>
              <w:jc w:val="center"/>
              <w:rPr>
                <w:rFonts w:cs="Arial"/>
                <w:b/>
                <w:bCs/>
                <w:color w:val="000000"/>
              </w:rPr>
            </w:pPr>
            <w:r>
              <w:rPr>
                <w:rFonts w:cs="Arial"/>
                <w:b/>
                <w:bCs/>
                <w:color w:val="000000"/>
              </w:rPr>
              <w:t> </w:t>
            </w:r>
          </w:p>
        </w:tc>
      </w:tr>
      <w:tr w:rsidR="00775C09" w14:paraId="29FD441B" w14:textId="77777777" w:rsidTr="005E25A4">
        <w:trPr>
          <w:trHeight w:val="315"/>
        </w:trPr>
        <w:tc>
          <w:tcPr>
            <w:tcW w:w="849" w:type="pct"/>
            <w:tcBorders>
              <w:top w:val="nil"/>
              <w:left w:val="single" w:sz="8" w:space="0" w:color="auto"/>
              <w:bottom w:val="single" w:sz="8" w:space="0" w:color="auto"/>
              <w:right w:val="single" w:sz="8" w:space="0" w:color="auto"/>
            </w:tcBorders>
            <w:shd w:val="clear" w:color="000000" w:fill="F2F2F2"/>
            <w:vAlign w:val="center"/>
            <w:hideMark/>
          </w:tcPr>
          <w:p w14:paraId="4B48B44B" w14:textId="5A2974FD" w:rsidR="00775C09" w:rsidRDefault="003E7969" w:rsidP="005E25A4">
            <w:pPr>
              <w:jc w:val="center"/>
              <w:rPr>
                <w:rFonts w:cs="Arial"/>
                <w:color w:val="000000"/>
              </w:rPr>
            </w:pPr>
            <w:r>
              <w:t>0</w:t>
            </w:r>
            <w:r w:rsidR="009D3E29">
              <w:t>4</w:t>
            </w:r>
            <w:r w:rsidR="00A83893">
              <w:t xml:space="preserve"> JAN 2023</w:t>
            </w:r>
          </w:p>
        </w:tc>
        <w:tc>
          <w:tcPr>
            <w:tcW w:w="1083" w:type="pct"/>
            <w:tcBorders>
              <w:top w:val="nil"/>
              <w:left w:val="nil"/>
              <w:bottom w:val="single" w:sz="8" w:space="0" w:color="auto"/>
              <w:right w:val="single" w:sz="8" w:space="0" w:color="auto"/>
            </w:tcBorders>
            <w:shd w:val="clear" w:color="000000" w:fill="F2F2F2"/>
            <w:hideMark/>
          </w:tcPr>
          <w:p w14:paraId="3F398CEB" w14:textId="7602C44D" w:rsidR="00775C09" w:rsidRDefault="009D3E29" w:rsidP="00F96D40">
            <w:pPr>
              <w:jc w:val="center"/>
              <w:rPr>
                <w:rFonts w:cs="Arial"/>
                <w:color w:val="000000"/>
              </w:rPr>
            </w:pPr>
            <w:r>
              <w:rPr>
                <w:rFonts w:cs="Arial"/>
                <w:color w:val="000000"/>
              </w:rPr>
              <w:t>20 JAN 2023</w:t>
            </w:r>
          </w:p>
        </w:tc>
        <w:tc>
          <w:tcPr>
            <w:tcW w:w="732" w:type="pct"/>
            <w:tcBorders>
              <w:top w:val="nil"/>
              <w:left w:val="nil"/>
              <w:bottom w:val="single" w:sz="8" w:space="0" w:color="auto"/>
              <w:right w:val="single" w:sz="8" w:space="0" w:color="auto"/>
            </w:tcBorders>
            <w:shd w:val="clear" w:color="000000" w:fill="F2F2F2"/>
            <w:hideMark/>
          </w:tcPr>
          <w:p w14:paraId="1DDFEDE3" w14:textId="77777777" w:rsidR="00775C09" w:rsidRDefault="00775C09" w:rsidP="005E25A4">
            <w:pPr>
              <w:rPr>
                <w:rFonts w:cs="Arial"/>
                <w:color w:val="000000"/>
              </w:rPr>
            </w:pPr>
            <w:r>
              <w:rPr>
                <w:rFonts w:cs="Arial"/>
                <w:color w:val="000000"/>
              </w:rPr>
              <w:t> </w:t>
            </w:r>
          </w:p>
        </w:tc>
        <w:tc>
          <w:tcPr>
            <w:tcW w:w="703" w:type="pct"/>
            <w:tcBorders>
              <w:top w:val="nil"/>
              <w:left w:val="nil"/>
              <w:bottom w:val="single" w:sz="8" w:space="0" w:color="auto"/>
              <w:right w:val="single" w:sz="8" w:space="0" w:color="auto"/>
            </w:tcBorders>
            <w:shd w:val="clear" w:color="000000" w:fill="F2F2F2"/>
            <w:hideMark/>
          </w:tcPr>
          <w:p w14:paraId="32B5E120" w14:textId="77777777" w:rsidR="00775C09" w:rsidRDefault="00775C09" w:rsidP="005E25A4">
            <w:pPr>
              <w:rPr>
                <w:rFonts w:cs="Arial"/>
                <w:color w:val="000000"/>
              </w:rPr>
            </w:pPr>
            <w:r>
              <w:rPr>
                <w:rFonts w:cs="Arial"/>
                <w:color w:val="000000"/>
              </w:rPr>
              <w:t> </w:t>
            </w:r>
          </w:p>
        </w:tc>
        <w:tc>
          <w:tcPr>
            <w:tcW w:w="1083" w:type="pct"/>
            <w:tcBorders>
              <w:top w:val="nil"/>
              <w:left w:val="nil"/>
              <w:bottom w:val="single" w:sz="8" w:space="0" w:color="auto"/>
              <w:right w:val="single" w:sz="8" w:space="0" w:color="auto"/>
            </w:tcBorders>
            <w:shd w:val="clear" w:color="000000" w:fill="F2F2F2"/>
            <w:hideMark/>
          </w:tcPr>
          <w:p w14:paraId="068A634B" w14:textId="77777777" w:rsidR="00775C09" w:rsidRDefault="00775C09" w:rsidP="005E25A4">
            <w:pPr>
              <w:rPr>
                <w:rFonts w:cs="Arial"/>
                <w:color w:val="000000"/>
              </w:rPr>
            </w:pPr>
            <w:r>
              <w:rPr>
                <w:rFonts w:cs="Arial"/>
                <w:color w:val="000000"/>
              </w:rPr>
              <w:t> </w:t>
            </w:r>
          </w:p>
        </w:tc>
        <w:tc>
          <w:tcPr>
            <w:tcW w:w="549" w:type="pct"/>
            <w:tcBorders>
              <w:top w:val="nil"/>
              <w:left w:val="nil"/>
              <w:bottom w:val="single" w:sz="8" w:space="0" w:color="auto"/>
              <w:right w:val="single" w:sz="8" w:space="0" w:color="auto"/>
            </w:tcBorders>
            <w:shd w:val="clear" w:color="000000" w:fill="F2F2F2"/>
            <w:hideMark/>
          </w:tcPr>
          <w:p w14:paraId="060FDF7C" w14:textId="77777777" w:rsidR="00775C09" w:rsidRDefault="00775C09" w:rsidP="005E25A4">
            <w:pPr>
              <w:rPr>
                <w:rFonts w:cs="Arial"/>
                <w:color w:val="000000"/>
              </w:rPr>
            </w:pPr>
            <w:r>
              <w:rPr>
                <w:rFonts w:cs="Arial"/>
                <w:color w:val="000000"/>
              </w:rPr>
              <w:t> </w:t>
            </w:r>
          </w:p>
        </w:tc>
      </w:tr>
      <w:tr w:rsidR="00775C09" w14:paraId="353788C0" w14:textId="77777777" w:rsidTr="005E25A4">
        <w:trPr>
          <w:trHeight w:val="300"/>
        </w:trPr>
        <w:tc>
          <w:tcPr>
            <w:tcW w:w="849" w:type="pct"/>
            <w:tcBorders>
              <w:top w:val="nil"/>
              <w:left w:val="nil"/>
              <w:bottom w:val="nil"/>
              <w:right w:val="nil"/>
            </w:tcBorders>
            <w:shd w:val="clear" w:color="auto" w:fill="auto"/>
            <w:noWrap/>
            <w:vAlign w:val="center"/>
            <w:hideMark/>
          </w:tcPr>
          <w:p w14:paraId="742A9227" w14:textId="77777777" w:rsidR="00775C09" w:rsidRDefault="00775C09" w:rsidP="005E25A4">
            <w:pPr>
              <w:rPr>
                <w:rFonts w:cs="Arial"/>
                <w:color w:val="000000"/>
              </w:rPr>
            </w:pPr>
          </w:p>
        </w:tc>
        <w:tc>
          <w:tcPr>
            <w:tcW w:w="1083" w:type="pct"/>
            <w:tcBorders>
              <w:top w:val="nil"/>
              <w:left w:val="nil"/>
              <w:bottom w:val="nil"/>
              <w:right w:val="nil"/>
            </w:tcBorders>
            <w:shd w:val="clear" w:color="auto" w:fill="auto"/>
            <w:noWrap/>
            <w:vAlign w:val="bottom"/>
            <w:hideMark/>
          </w:tcPr>
          <w:p w14:paraId="2035D3E9" w14:textId="77777777" w:rsidR="00775C09" w:rsidRDefault="00775C09" w:rsidP="005E25A4"/>
        </w:tc>
        <w:tc>
          <w:tcPr>
            <w:tcW w:w="732" w:type="pct"/>
            <w:tcBorders>
              <w:top w:val="nil"/>
              <w:left w:val="nil"/>
              <w:bottom w:val="nil"/>
              <w:right w:val="nil"/>
            </w:tcBorders>
            <w:shd w:val="clear" w:color="auto" w:fill="auto"/>
            <w:noWrap/>
            <w:vAlign w:val="bottom"/>
            <w:hideMark/>
          </w:tcPr>
          <w:p w14:paraId="4C0F614B" w14:textId="77777777" w:rsidR="00775C09" w:rsidRDefault="00775C09" w:rsidP="005E25A4"/>
        </w:tc>
        <w:tc>
          <w:tcPr>
            <w:tcW w:w="703" w:type="pct"/>
            <w:tcBorders>
              <w:top w:val="nil"/>
              <w:left w:val="nil"/>
              <w:bottom w:val="nil"/>
              <w:right w:val="nil"/>
            </w:tcBorders>
            <w:shd w:val="clear" w:color="auto" w:fill="auto"/>
            <w:noWrap/>
            <w:vAlign w:val="bottom"/>
            <w:hideMark/>
          </w:tcPr>
          <w:p w14:paraId="05145750" w14:textId="77777777" w:rsidR="00775C09" w:rsidRDefault="00775C09" w:rsidP="005E25A4"/>
        </w:tc>
        <w:tc>
          <w:tcPr>
            <w:tcW w:w="1083" w:type="pct"/>
            <w:tcBorders>
              <w:top w:val="nil"/>
              <w:left w:val="nil"/>
              <w:bottom w:val="nil"/>
              <w:right w:val="nil"/>
            </w:tcBorders>
            <w:shd w:val="clear" w:color="auto" w:fill="auto"/>
            <w:noWrap/>
            <w:vAlign w:val="bottom"/>
            <w:hideMark/>
          </w:tcPr>
          <w:p w14:paraId="78663C1A" w14:textId="77777777" w:rsidR="00775C09" w:rsidRDefault="00775C09" w:rsidP="005E25A4"/>
        </w:tc>
        <w:tc>
          <w:tcPr>
            <w:tcW w:w="549" w:type="pct"/>
            <w:tcBorders>
              <w:top w:val="nil"/>
              <w:left w:val="nil"/>
              <w:bottom w:val="nil"/>
              <w:right w:val="nil"/>
            </w:tcBorders>
            <w:shd w:val="clear" w:color="auto" w:fill="auto"/>
            <w:noWrap/>
            <w:vAlign w:val="bottom"/>
            <w:hideMark/>
          </w:tcPr>
          <w:p w14:paraId="051C9973" w14:textId="77777777" w:rsidR="00775C09" w:rsidRDefault="00775C09" w:rsidP="005E25A4"/>
        </w:tc>
      </w:tr>
      <w:tr w:rsidR="00775C09" w14:paraId="650F3259" w14:textId="77777777" w:rsidTr="005E25A4">
        <w:trPr>
          <w:trHeight w:val="300"/>
        </w:trPr>
        <w:tc>
          <w:tcPr>
            <w:tcW w:w="5000" w:type="pct"/>
            <w:gridSpan w:val="6"/>
            <w:tcBorders>
              <w:top w:val="nil"/>
              <w:left w:val="nil"/>
              <w:bottom w:val="nil"/>
              <w:right w:val="nil"/>
            </w:tcBorders>
            <w:shd w:val="clear" w:color="auto" w:fill="auto"/>
            <w:noWrap/>
            <w:vAlign w:val="center"/>
            <w:hideMark/>
          </w:tcPr>
          <w:p w14:paraId="2E85FB87" w14:textId="77777777" w:rsidR="00775C09" w:rsidRDefault="00775C09" w:rsidP="005E25A4">
            <w:bookmarkStart w:id="1" w:name="RANGE!A31"/>
            <w:bookmarkEnd w:id="1"/>
          </w:p>
        </w:tc>
      </w:tr>
    </w:tbl>
    <w:p w14:paraId="5EF2A1F1" w14:textId="77777777" w:rsidR="001E2081" w:rsidRDefault="001E2081" w:rsidP="001E2081">
      <w:pPr>
        <w:tabs>
          <w:tab w:val="clear" w:pos="567"/>
        </w:tabs>
      </w:pPr>
    </w:p>
    <w:p w14:paraId="1D3B8746" w14:textId="77777777" w:rsidR="00FE5E6D" w:rsidRDefault="00FE5E6D" w:rsidP="001E2081">
      <w:pPr>
        <w:tabs>
          <w:tab w:val="clear" w:pos="567"/>
        </w:tabs>
      </w:pPr>
    </w:p>
    <w:p w14:paraId="0FC1516A" w14:textId="77777777" w:rsidR="00FE5E6D" w:rsidRDefault="00FE5E6D" w:rsidP="001E2081">
      <w:pPr>
        <w:tabs>
          <w:tab w:val="clear" w:pos="567"/>
        </w:tabs>
      </w:pPr>
    </w:p>
    <w:p w14:paraId="3DD21DF0" w14:textId="77777777" w:rsidR="00865FD7" w:rsidRPr="00775C09" w:rsidRDefault="00865FD7" w:rsidP="00865FD7">
      <w:pPr>
        <w:rPr>
          <w:i/>
        </w:rPr>
      </w:pPr>
    </w:p>
    <w:p w14:paraId="40D35E73" w14:textId="77777777" w:rsidR="00865FD7" w:rsidRPr="00775C09" w:rsidRDefault="00865FD7" w:rsidP="00865FD7">
      <w:pPr>
        <w:rPr>
          <w:i/>
        </w:rPr>
      </w:pPr>
    </w:p>
    <w:p w14:paraId="07DB2897" w14:textId="77777777" w:rsidR="00865FD7" w:rsidRPr="00775C09" w:rsidRDefault="00865FD7" w:rsidP="00865FD7">
      <w:pPr>
        <w:pStyle w:val="Heading1"/>
        <w:tabs>
          <w:tab w:val="clear" w:pos="567"/>
          <w:tab w:val="num" w:pos="432"/>
        </w:tabs>
        <w:ind w:left="432" w:hanging="432"/>
        <w:rPr>
          <w:rFonts w:cs="Arial"/>
        </w:rPr>
      </w:pPr>
      <w:bookmarkStart w:id="2" w:name="_Ref419990398"/>
      <w:r w:rsidRPr="00775C09">
        <w:rPr>
          <w:rFonts w:cs="Arial"/>
        </w:rPr>
        <w:t>Executive summary</w:t>
      </w:r>
      <w:bookmarkEnd w:id="2"/>
    </w:p>
    <w:p w14:paraId="1CA4EB01" w14:textId="77777777" w:rsidR="00F3049A" w:rsidRDefault="0033530F" w:rsidP="00865FD7">
      <w:pPr>
        <w:pStyle w:val="Guideline"/>
        <w:rPr>
          <w:i w:val="0"/>
          <w:iCs/>
          <w:lang w:val="en-US"/>
        </w:rPr>
      </w:pPr>
      <w:r w:rsidRPr="0033530F">
        <w:rPr>
          <w:i w:val="0"/>
          <w:iCs/>
          <w:lang w:val="en-US"/>
        </w:rPr>
        <w:t xml:space="preserve">The present document provides an overview of the </w:t>
      </w:r>
      <w:r>
        <w:rPr>
          <w:i w:val="0"/>
          <w:iCs/>
          <w:lang w:val="en-US"/>
        </w:rPr>
        <w:t>second</w:t>
      </w:r>
      <w:r w:rsidRPr="0033530F">
        <w:rPr>
          <w:i w:val="0"/>
          <w:iCs/>
          <w:lang w:val="en-US"/>
        </w:rPr>
        <w:t xml:space="preserve"> phase of the work of TTF T022</w:t>
      </w:r>
      <w:r>
        <w:rPr>
          <w:i w:val="0"/>
          <w:iCs/>
          <w:lang w:val="en-US"/>
        </w:rPr>
        <w:t>.</w:t>
      </w:r>
    </w:p>
    <w:p w14:paraId="6AE6F1B7" w14:textId="77777777" w:rsidR="00F3049A" w:rsidRDefault="00F3049A" w:rsidP="00865FD7">
      <w:pPr>
        <w:pStyle w:val="Guideline"/>
        <w:rPr>
          <w:i w:val="0"/>
          <w:iCs/>
          <w:lang w:val="en-US"/>
        </w:rPr>
      </w:pPr>
    </w:p>
    <w:p w14:paraId="50B9ECDD" w14:textId="77777777" w:rsidR="00FA66F7" w:rsidRDefault="00F3049A" w:rsidP="00865FD7">
      <w:pPr>
        <w:pStyle w:val="Guideline"/>
        <w:rPr>
          <w:i w:val="0"/>
          <w:iCs/>
          <w:lang w:val="en-US"/>
        </w:rPr>
      </w:pPr>
      <w:r>
        <w:rPr>
          <w:i w:val="0"/>
          <w:iCs/>
          <w:lang w:val="en-US"/>
        </w:rPr>
        <w:t>The TTF has failed to achieve the goals for the milestone due to lack of human resources that were unforeseen during the planning stage of the TTF.</w:t>
      </w:r>
    </w:p>
    <w:p w14:paraId="25FC55C8" w14:textId="5FCCD951" w:rsidR="0033530F" w:rsidRDefault="00FA66F7" w:rsidP="00865FD7">
      <w:pPr>
        <w:pStyle w:val="Guideline"/>
        <w:rPr>
          <w:i w:val="0"/>
          <w:iCs/>
          <w:lang w:val="en-US"/>
        </w:rPr>
      </w:pPr>
      <w:r>
        <w:rPr>
          <w:i w:val="0"/>
          <w:iCs/>
          <w:lang w:val="en-US"/>
        </w:rPr>
        <w:lastRenderedPageBreak/>
        <w:t>Consequently, the TTF requests following changes to the work plan:</w:t>
      </w:r>
    </w:p>
    <w:p w14:paraId="46E25A97" w14:textId="57A310D0" w:rsidR="00C7076A" w:rsidRDefault="00B161FA" w:rsidP="00FA66F7">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bookmarkStart w:id="3" w:name="_Hlk125360379"/>
      <w:r>
        <w:rPr>
          <w:lang w:val="en-US"/>
        </w:rPr>
        <w:t xml:space="preserve">reallocate the resources planned for achieving current milestone (B, </w:t>
      </w:r>
      <w:r>
        <w:t xml:space="preserve">2023-01-31) to the next milestone (C, </w:t>
      </w:r>
      <w:r w:rsidRPr="00AA78A5">
        <w:rPr>
          <w:lang w:val="en-US"/>
        </w:rPr>
        <w:t>2023-05-31)</w:t>
      </w:r>
      <w:r>
        <w:rPr>
          <w:lang w:val="en-US"/>
        </w:rPr>
        <w:t xml:space="preserve"> and</w:t>
      </w:r>
    </w:p>
    <w:p w14:paraId="58B61156" w14:textId="14E547A4" w:rsidR="00B161FA" w:rsidRPr="00AA78A5" w:rsidRDefault="00B161FA" w:rsidP="00B161FA">
      <w:pPr>
        <w:pStyle w:val="ListParagraph"/>
        <w:numPr>
          <w:ilvl w:val="0"/>
          <w:numId w:val="39"/>
        </w:numPr>
        <w:tabs>
          <w:tab w:val="clear" w:pos="567"/>
          <w:tab w:val="clear" w:pos="1418"/>
          <w:tab w:val="clear" w:pos="4678"/>
          <w:tab w:val="clear" w:pos="5954"/>
          <w:tab w:val="clear" w:pos="7088"/>
        </w:tabs>
        <w:overflowPunct/>
        <w:autoSpaceDE/>
        <w:autoSpaceDN/>
        <w:adjustRightInd/>
        <w:jc w:val="left"/>
        <w:textAlignment w:val="auto"/>
        <w:rPr>
          <w:lang w:val="en-US"/>
        </w:rPr>
      </w:pPr>
      <w:r>
        <w:rPr>
          <w:lang w:val="en-US"/>
        </w:rPr>
        <w:t>postpone the due dates of deliverables for milestone B to milestone C.</w:t>
      </w:r>
    </w:p>
    <w:p w14:paraId="63FF90F4" w14:textId="3AFA1367" w:rsidR="00FA66F7" w:rsidRPr="00B161FA" w:rsidRDefault="00FA66F7" w:rsidP="00B161FA">
      <w:pPr>
        <w:tabs>
          <w:tab w:val="clear" w:pos="567"/>
          <w:tab w:val="clear" w:pos="1418"/>
          <w:tab w:val="clear" w:pos="4678"/>
          <w:tab w:val="clear" w:pos="5954"/>
          <w:tab w:val="clear" w:pos="7088"/>
        </w:tabs>
        <w:overflowPunct/>
        <w:autoSpaceDE/>
        <w:autoSpaceDN/>
        <w:adjustRightInd/>
        <w:jc w:val="left"/>
        <w:textAlignment w:val="auto"/>
        <w:rPr>
          <w:lang w:val="en-US"/>
        </w:rPr>
      </w:pPr>
    </w:p>
    <w:bookmarkEnd w:id="3"/>
    <w:p w14:paraId="02FEF1B4" w14:textId="77777777" w:rsidR="00865FD7" w:rsidRPr="00775C09" w:rsidRDefault="00865FD7" w:rsidP="00865FD7">
      <w:pPr>
        <w:pStyle w:val="Guideline"/>
        <w:rPr>
          <w:iCs/>
        </w:rPr>
      </w:pPr>
    </w:p>
    <w:p w14:paraId="098B4243" w14:textId="77777777" w:rsidR="00865FD7" w:rsidRPr="00775C09" w:rsidRDefault="00865FD7" w:rsidP="00865FD7">
      <w:pPr>
        <w:pStyle w:val="Heading1"/>
        <w:tabs>
          <w:tab w:val="clear" w:pos="567"/>
          <w:tab w:val="num" w:pos="432"/>
        </w:tabs>
        <w:ind w:left="432" w:hanging="432"/>
        <w:rPr>
          <w:rFonts w:cs="Arial"/>
        </w:rPr>
      </w:pPr>
      <w:r w:rsidRPr="00775C09">
        <w:rPr>
          <w:rFonts w:cs="Arial"/>
        </w:rPr>
        <w:t>Introduction</w:t>
      </w:r>
    </w:p>
    <w:p w14:paraId="79B6E498" w14:textId="451D233E" w:rsidR="00A61ECE" w:rsidRDefault="00F87530" w:rsidP="00865FD7">
      <w:pPr>
        <w:pStyle w:val="Guideline"/>
        <w:rPr>
          <w:i w:val="0"/>
        </w:rPr>
      </w:pPr>
      <w:r>
        <w:rPr>
          <w:i w:val="0"/>
        </w:rPr>
        <w:t xml:space="preserve">Even though the TTF failed to reach </w:t>
      </w:r>
      <w:r w:rsidR="00340FE3">
        <w:rPr>
          <w:i w:val="0"/>
        </w:rPr>
        <w:t>most of</w:t>
      </w:r>
      <w:r>
        <w:rPr>
          <w:i w:val="0"/>
        </w:rPr>
        <w:t xml:space="preserve"> the goals set for the milestone, the team is committed to complete the work on tim</w:t>
      </w:r>
      <w:r w:rsidR="00340FE3">
        <w:rPr>
          <w:i w:val="0"/>
        </w:rPr>
        <w:t>e</w:t>
      </w:r>
      <w:r>
        <w:rPr>
          <w:i w:val="0"/>
        </w:rPr>
        <w:t>.</w:t>
      </w:r>
    </w:p>
    <w:p w14:paraId="010C3384" w14:textId="77777777" w:rsidR="00865FD7" w:rsidRPr="00775C09" w:rsidRDefault="00865FD7" w:rsidP="00865FD7"/>
    <w:p w14:paraId="4C211190" w14:textId="77777777" w:rsidR="00865FD7" w:rsidRPr="00775C09" w:rsidRDefault="00865FD7" w:rsidP="00865FD7">
      <w:pPr>
        <w:pStyle w:val="Heading1"/>
        <w:tabs>
          <w:tab w:val="clear" w:pos="567"/>
          <w:tab w:val="num" w:pos="432"/>
        </w:tabs>
        <w:ind w:left="432" w:hanging="432"/>
      </w:pPr>
      <w:r w:rsidRPr="00775C09">
        <w:t>Contractual milestone</w:t>
      </w:r>
    </w:p>
    <w:p w14:paraId="4F5551C1" w14:textId="509A818D" w:rsidR="00340FE3" w:rsidRDefault="00F601F1" w:rsidP="00865FD7">
      <w:pPr>
        <w:pStyle w:val="Guideline"/>
        <w:rPr>
          <w:i w:val="0"/>
        </w:rPr>
      </w:pPr>
      <w:bookmarkStart w:id="4" w:name="_Hlk125360608"/>
      <w:r>
        <w:rPr>
          <w:i w:val="0"/>
        </w:rPr>
        <w:t>The target for the milestone was not met</w:t>
      </w:r>
      <w:bookmarkEnd w:id="4"/>
      <w:r>
        <w:rPr>
          <w:i w:val="0"/>
        </w:rPr>
        <w:t xml:space="preserve">. The shortage of qualified staff in contractors caused the reallocation of responsibilities and TTF team members were assigned to other projects that were considered as higher priority. For the TTF, this means that the completion of the deliverables is delayed and </w:t>
      </w:r>
      <w:r w:rsidR="00B16C32">
        <w:rPr>
          <w:i w:val="0"/>
        </w:rPr>
        <w:t>the schedule for completing the tasks becomes significantly denser.</w:t>
      </w:r>
    </w:p>
    <w:p w14:paraId="684DABA2" w14:textId="5268E34D" w:rsidR="00B16C32" w:rsidRDefault="00B16C32" w:rsidP="00865FD7">
      <w:pPr>
        <w:pStyle w:val="Guideline"/>
        <w:rPr>
          <w:i w:val="0"/>
        </w:rPr>
      </w:pPr>
    </w:p>
    <w:p w14:paraId="26C43065" w14:textId="0472819C" w:rsidR="00340FE3" w:rsidRDefault="00B16C32" w:rsidP="00865FD7">
      <w:pPr>
        <w:pStyle w:val="Guideline"/>
        <w:rPr>
          <w:i w:val="0"/>
        </w:rPr>
      </w:pPr>
      <w:r>
        <w:rPr>
          <w:i w:val="0"/>
        </w:rPr>
        <w:t xml:space="preserve">Internal discussions with the management of the contractors have been carried out to ensure that higher priority is assigned to the TTF work for TTF team members. </w:t>
      </w:r>
      <w:r w:rsidR="00340FE3">
        <w:rPr>
          <w:i w:val="0"/>
        </w:rPr>
        <w:t xml:space="preserve">A </w:t>
      </w:r>
      <w:r>
        <w:rPr>
          <w:i w:val="0"/>
        </w:rPr>
        <w:t xml:space="preserve">more </w:t>
      </w:r>
      <w:r w:rsidR="00340FE3">
        <w:rPr>
          <w:i w:val="0"/>
        </w:rPr>
        <w:t>detailed work plan was put together to</w:t>
      </w:r>
      <w:r>
        <w:rPr>
          <w:i w:val="0"/>
        </w:rPr>
        <w:t xml:space="preserve"> demonstrate how the </w:t>
      </w:r>
      <w:r w:rsidR="00340FE3">
        <w:rPr>
          <w:i w:val="0"/>
        </w:rPr>
        <w:t xml:space="preserve">goals of the TTF </w:t>
      </w:r>
      <w:r>
        <w:rPr>
          <w:i w:val="0"/>
        </w:rPr>
        <w:t xml:space="preserve">will be achieved </w:t>
      </w:r>
      <w:r w:rsidR="00340FE3">
        <w:rPr>
          <w:i w:val="0"/>
        </w:rPr>
        <w:t>by the final milestone.</w:t>
      </w:r>
    </w:p>
    <w:p w14:paraId="742C449E" w14:textId="77777777" w:rsidR="00865FD7" w:rsidRPr="00775C09" w:rsidRDefault="00865FD7" w:rsidP="00865FD7">
      <w:pPr>
        <w:pStyle w:val="CommentText"/>
      </w:pPr>
    </w:p>
    <w:p w14:paraId="61514CEB" w14:textId="77777777" w:rsidR="00865FD7" w:rsidRPr="00775C09" w:rsidRDefault="00865FD7" w:rsidP="00865FD7">
      <w:pPr>
        <w:pStyle w:val="Heading1"/>
        <w:tabs>
          <w:tab w:val="clear" w:pos="567"/>
          <w:tab w:val="num" w:pos="432"/>
        </w:tabs>
        <w:ind w:left="432" w:hanging="432"/>
      </w:pPr>
      <w:r w:rsidRPr="00775C09">
        <w:t>Progress of the work</w:t>
      </w:r>
    </w:p>
    <w:p w14:paraId="0F3265C6" w14:textId="7B0D20C4" w:rsidR="00B16C32" w:rsidRPr="00B16C32" w:rsidRDefault="00B16C32" w:rsidP="00B16C32">
      <w:pPr>
        <w:pStyle w:val="Guideline"/>
        <w:rPr>
          <w:i w:val="0"/>
          <w:iCs/>
        </w:rPr>
      </w:pPr>
      <w:bookmarkStart w:id="5" w:name="_Hlk125360654"/>
      <w:r>
        <w:rPr>
          <w:i w:val="0"/>
          <w:iCs/>
        </w:rPr>
        <w:t>The targets of the current milestone are to be postponed to the next milestone (</w:t>
      </w:r>
      <w:r w:rsidRPr="00B16C32">
        <w:rPr>
          <w:i w:val="0"/>
          <w:iCs/>
        </w:rPr>
        <w:t xml:space="preserve">C, </w:t>
      </w:r>
      <w:r w:rsidRPr="00B16C32">
        <w:rPr>
          <w:i w:val="0"/>
          <w:iCs/>
          <w:lang w:val="en-US"/>
        </w:rPr>
        <w:t>2023-05-31</w:t>
      </w:r>
      <w:r w:rsidRPr="00B16C32">
        <w:rPr>
          <w:i w:val="0"/>
          <w:iCs/>
        </w:rPr>
        <w:t>)</w:t>
      </w:r>
      <w:r>
        <w:rPr>
          <w:i w:val="0"/>
          <w:iCs/>
        </w:rPr>
        <w:t xml:space="preserve"> and the resource assignments to be updated accordingly</w:t>
      </w:r>
      <w:bookmarkEnd w:id="5"/>
      <w:r>
        <w:rPr>
          <w:i w:val="0"/>
          <w:iCs/>
        </w:rPr>
        <w:t>.</w:t>
      </w:r>
    </w:p>
    <w:p w14:paraId="0700C664" w14:textId="317B86B2" w:rsidR="00865FD7" w:rsidRPr="00B16C32" w:rsidRDefault="00865FD7" w:rsidP="00865FD7">
      <w:pPr>
        <w:pStyle w:val="Guideline"/>
        <w:rPr>
          <w:i w:val="0"/>
          <w:iCs/>
        </w:rPr>
      </w:pPr>
    </w:p>
    <w:p w14:paraId="43C796D6" w14:textId="77777777" w:rsidR="00865FD7" w:rsidRPr="00775C09" w:rsidRDefault="00865FD7" w:rsidP="00865FD7"/>
    <w:p w14:paraId="5AF26589" w14:textId="77777777" w:rsidR="00865FD7" w:rsidRPr="00775C09" w:rsidRDefault="00865FD7" w:rsidP="00865FD7">
      <w:pPr>
        <w:pStyle w:val="Heading1"/>
        <w:tabs>
          <w:tab w:val="clear" w:pos="567"/>
          <w:tab w:val="num" w:pos="432"/>
        </w:tabs>
        <w:ind w:left="432" w:hanging="432"/>
      </w:pPr>
      <w:r w:rsidRPr="00775C09">
        <w:rPr>
          <w:rFonts w:cs="Arial"/>
        </w:rPr>
        <w:t>Assessment of technical risk, difficulties encountered/expected</w:t>
      </w:r>
      <w:r w:rsidRPr="00775C09">
        <w:t>, unresolved issues</w:t>
      </w:r>
    </w:p>
    <w:p w14:paraId="311BD99E" w14:textId="77777777" w:rsidR="00B16C32" w:rsidRPr="005408D1" w:rsidRDefault="00B16C32" w:rsidP="00B16C32">
      <w:pPr>
        <w:rPr>
          <w:lang w:val="en-US"/>
        </w:rPr>
      </w:pPr>
      <w:r w:rsidRPr="005408D1">
        <w:rPr>
          <w:lang w:val="en-US"/>
        </w:rPr>
        <w:t>No</w:t>
      </w:r>
      <w:r>
        <w:rPr>
          <w:lang w:val="en-US"/>
        </w:rPr>
        <w:t xml:space="preserve"> technical</w:t>
      </w:r>
      <w:r w:rsidRPr="005408D1">
        <w:rPr>
          <w:lang w:val="en-US"/>
        </w:rPr>
        <w:t xml:space="preserve"> risks </w:t>
      </w:r>
      <w:r>
        <w:rPr>
          <w:lang w:val="en-US"/>
        </w:rPr>
        <w:t>n</w:t>
      </w:r>
      <w:r w:rsidRPr="005408D1">
        <w:rPr>
          <w:lang w:val="en-US"/>
        </w:rPr>
        <w:t xml:space="preserve">or difficulties have been </w:t>
      </w:r>
      <w:r>
        <w:rPr>
          <w:lang w:val="en-US"/>
        </w:rPr>
        <w:t>met thus far.</w:t>
      </w:r>
    </w:p>
    <w:p w14:paraId="226D1DC5" w14:textId="77777777" w:rsidR="00865FD7" w:rsidRPr="00775C09" w:rsidRDefault="00865FD7" w:rsidP="00865FD7"/>
    <w:p w14:paraId="4F1BC88F" w14:textId="55C82213" w:rsidR="00865FD7" w:rsidRPr="00775C09" w:rsidRDefault="00865FD7" w:rsidP="00865FD7">
      <w:pPr>
        <w:pStyle w:val="Heading1"/>
        <w:tabs>
          <w:tab w:val="clear" w:pos="567"/>
          <w:tab w:val="num" w:pos="432"/>
        </w:tabs>
        <w:ind w:left="432" w:hanging="432"/>
      </w:pPr>
      <w:r w:rsidRPr="00775C09">
        <w:t xml:space="preserve">Proposed changes in the </w:t>
      </w:r>
      <w:r w:rsidR="001C3D41">
        <w:t>T</w:t>
      </w:r>
      <w:r w:rsidRPr="00775C09">
        <w:t>TF work plan</w:t>
      </w:r>
    </w:p>
    <w:p w14:paraId="6E8C6CED" w14:textId="017B1D5B" w:rsidR="00B16C32" w:rsidRPr="00217CFD" w:rsidRDefault="00014BEC" w:rsidP="00865FD7">
      <w:pPr>
        <w:pStyle w:val="Guideline"/>
        <w:rPr>
          <w:i w:val="0"/>
        </w:rPr>
      </w:pPr>
      <w:r>
        <w:rPr>
          <w:i w:val="0"/>
        </w:rPr>
        <w:t>TTF proposes to reallocate all resources from the previous stage to achieving the goals of the next milestone (</w:t>
      </w:r>
      <w:r w:rsidRPr="00B16C32">
        <w:rPr>
          <w:i w:val="0"/>
          <w:iCs/>
        </w:rPr>
        <w:t xml:space="preserve">C, </w:t>
      </w:r>
      <w:r w:rsidRPr="00B16C32">
        <w:rPr>
          <w:i w:val="0"/>
          <w:iCs/>
          <w:lang w:val="en-US"/>
        </w:rPr>
        <w:t>2023-05-31</w:t>
      </w:r>
      <w:r>
        <w:rPr>
          <w:i w:val="0"/>
        </w:rPr>
        <w:t>). The TTF does not see a need to alter the goals set for the TTF as the work can still be carried out in a (significantly) shorter timeframe.</w:t>
      </w:r>
    </w:p>
    <w:p w14:paraId="3C9AF588" w14:textId="77777777" w:rsidR="00865FD7" w:rsidRPr="00014BEC" w:rsidRDefault="00865FD7" w:rsidP="00865FD7">
      <w:pPr>
        <w:pStyle w:val="Guideline"/>
        <w:rPr>
          <w:i w:val="0"/>
        </w:rPr>
      </w:pPr>
    </w:p>
    <w:p w14:paraId="1FCA27B8" w14:textId="77777777" w:rsidR="00477312" w:rsidRPr="00775C09" w:rsidRDefault="00477312" w:rsidP="00477312">
      <w:pPr>
        <w:pStyle w:val="Heading1"/>
        <w:tabs>
          <w:tab w:val="clear" w:pos="567"/>
          <w:tab w:val="num" w:pos="432"/>
        </w:tabs>
        <w:ind w:left="432" w:hanging="432"/>
      </w:pPr>
      <w:r w:rsidRPr="00775C09">
        <w:t>Meetings/events planned to be attended</w:t>
      </w:r>
    </w:p>
    <w:p w14:paraId="40BC074C" w14:textId="77777777" w:rsidR="00477312" w:rsidRPr="00775C09" w:rsidRDefault="00477312" w:rsidP="00477312"/>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38"/>
        <w:gridCol w:w="1328"/>
        <w:gridCol w:w="1118"/>
        <w:gridCol w:w="2512"/>
        <w:gridCol w:w="2371"/>
        <w:gridCol w:w="1339"/>
      </w:tblGrid>
      <w:tr w:rsidR="00CD507E" w:rsidRPr="00775C09" w14:paraId="33574D2D" w14:textId="77777777" w:rsidTr="00CD507E">
        <w:tc>
          <w:tcPr>
            <w:tcW w:w="945" w:type="dxa"/>
            <w:shd w:val="clear" w:color="auto" w:fill="DBE5F1"/>
          </w:tcPr>
          <w:p w14:paraId="0870C947" w14:textId="77777777" w:rsidR="00F8677E" w:rsidRPr="00775C09" w:rsidRDefault="00F8677E" w:rsidP="00477312">
            <w:pPr>
              <w:rPr>
                <w:b/>
              </w:rPr>
            </w:pPr>
            <w:r w:rsidRPr="00775C09">
              <w:rPr>
                <w:b/>
              </w:rPr>
              <w:t>Date</w:t>
            </w:r>
          </w:p>
        </w:tc>
        <w:tc>
          <w:tcPr>
            <w:tcW w:w="1328" w:type="dxa"/>
            <w:shd w:val="clear" w:color="auto" w:fill="DBE5F1"/>
          </w:tcPr>
          <w:p w14:paraId="69E65406" w14:textId="77777777" w:rsidR="00F8677E" w:rsidRPr="00775C09" w:rsidRDefault="00F8677E" w:rsidP="00477312">
            <w:pPr>
              <w:rPr>
                <w:b/>
              </w:rPr>
            </w:pPr>
            <w:r w:rsidRPr="00775C09">
              <w:rPr>
                <w:b/>
              </w:rPr>
              <w:t>Place</w:t>
            </w:r>
          </w:p>
        </w:tc>
        <w:tc>
          <w:tcPr>
            <w:tcW w:w="1121" w:type="dxa"/>
            <w:shd w:val="clear" w:color="auto" w:fill="DBE5F1"/>
          </w:tcPr>
          <w:p w14:paraId="443262F7" w14:textId="77777777" w:rsidR="00F8677E" w:rsidRPr="00775C09" w:rsidRDefault="00F8677E" w:rsidP="00477312">
            <w:pPr>
              <w:rPr>
                <w:b/>
              </w:rPr>
            </w:pPr>
            <w:r w:rsidRPr="00775C09">
              <w:rPr>
                <w:b/>
              </w:rPr>
              <w:t>TB/Orga</w:t>
            </w:r>
          </w:p>
        </w:tc>
        <w:tc>
          <w:tcPr>
            <w:tcW w:w="2547" w:type="dxa"/>
            <w:shd w:val="clear" w:color="auto" w:fill="DBE5F1"/>
          </w:tcPr>
          <w:p w14:paraId="5C0B7013" w14:textId="77777777" w:rsidR="00F8677E" w:rsidRPr="00775C09" w:rsidRDefault="00F8677E" w:rsidP="00EA3A63">
            <w:pPr>
              <w:rPr>
                <w:b/>
              </w:rPr>
            </w:pPr>
            <w:r w:rsidRPr="00775C09">
              <w:rPr>
                <w:b/>
              </w:rPr>
              <w:t>Event description</w:t>
            </w:r>
          </w:p>
        </w:tc>
        <w:tc>
          <w:tcPr>
            <w:tcW w:w="2408" w:type="dxa"/>
            <w:shd w:val="clear" w:color="auto" w:fill="DBE5F1"/>
          </w:tcPr>
          <w:p w14:paraId="3DD77AA5" w14:textId="77777777" w:rsidR="00F8677E" w:rsidRPr="00775C09" w:rsidRDefault="00F8677E" w:rsidP="00477312">
            <w:pPr>
              <w:rPr>
                <w:b/>
              </w:rPr>
            </w:pPr>
            <w:r w:rsidRPr="00775C09">
              <w:rPr>
                <w:b/>
              </w:rPr>
              <w:t>Reason to attend</w:t>
            </w:r>
          </w:p>
        </w:tc>
        <w:tc>
          <w:tcPr>
            <w:tcW w:w="1257" w:type="dxa"/>
            <w:shd w:val="clear" w:color="auto" w:fill="DBE5F1"/>
          </w:tcPr>
          <w:p w14:paraId="0E88DB72" w14:textId="77777777" w:rsidR="00F8677E" w:rsidRPr="00775C09" w:rsidRDefault="00F8677E" w:rsidP="008E2E97">
            <w:pPr>
              <w:rPr>
                <w:b/>
              </w:rPr>
            </w:pPr>
            <w:r w:rsidRPr="00775C09">
              <w:rPr>
                <w:b/>
              </w:rPr>
              <w:t>Expert(s)</w:t>
            </w:r>
          </w:p>
        </w:tc>
      </w:tr>
      <w:tr w:rsidR="00CD507E" w:rsidRPr="00775C09" w14:paraId="0C78271C" w14:textId="77777777" w:rsidTr="00CD507E">
        <w:tc>
          <w:tcPr>
            <w:tcW w:w="945" w:type="dxa"/>
          </w:tcPr>
          <w:p w14:paraId="373889FF" w14:textId="40FDF238" w:rsidR="00CD507E" w:rsidRPr="00775C09" w:rsidRDefault="00CD507E" w:rsidP="00CD507E">
            <w:r>
              <w:t>2023-1-25</w:t>
            </w:r>
          </w:p>
        </w:tc>
        <w:tc>
          <w:tcPr>
            <w:tcW w:w="1328" w:type="dxa"/>
          </w:tcPr>
          <w:p w14:paraId="0F12BC87" w14:textId="7410CA32" w:rsidR="00CD507E" w:rsidRPr="00775C09" w:rsidRDefault="00CD507E" w:rsidP="00CD507E">
            <w:r>
              <w:t>Thessaloniki / online</w:t>
            </w:r>
          </w:p>
        </w:tc>
        <w:tc>
          <w:tcPr>
            <w:tcW w:w="1121" w:type="dxa"/>
          </w:tcPr>
          <w:p w14:paraId="5CD7460E" w14:textId="401D6706" w:rsidR="00CD507E" w:rsidRPr="00775C09" w:rsidRDefault="00CD507E" w:rsidP="00CD507E">
            <w:r>
              <w:t>MTS</w:t>
            </w:r>
          </w:p>
        </w:tc>
        <w:tc>
          <w:tcPr>
            <w:tcW w:w="2547" w:type="dxa"/>
          </w:tcPr>
          <w:p w14:paraId="49A77E12" w14:textId="434E064E" w:rsidR="00CD507E" w:rsidRPr="00775C09" w:rsidRDefault="00CD507E" w:rsidP="00CD507E">
            <w:r>
              <w:t>MTS#88</w:t>
            </w:r>
          </w:p>
        </w:tc>
        <w:tc>
          <w:tcPr>
            <w:tcW w:w="2408" w:type="dxa"/>
          </w:tcPr>
          <w:p w14:paraId="399C6376" w14:textId="2F837663" w:rsidR="00CD507E" w:rsidRPr="00775C09" w:rsidRDefault="00CD507E" w:rsidP="00CD507E">
            <w:r>
              <w:t>Reporting on TTF progress</w:t>
            </w:r>
          </w:p>
        </w:tc>
        <w:tc>
          <w:tcPr>
            <w:tcW w:w="1257" w:type="dxa"/>
          </w:tcPr>
          <w:p w14:paraId="3FA0876D" w14:textId="588F46B2" w:rsidR="00CD507E" w:rsidRPr="00775C09" w:rsidRDefault="00CD507E" w:rsidP="00CD507E">
            <w:r>
              <w:t>Martti Käärik, Philip Makedonski, Finn Kristoffersen</w:t>
            </w:r>
          </w:p>
        </w:tc>
      </w:tr>
      <w:tr w:rsidR="00CD507E" w:rsidRPr="00775C09" w14:paraId="02AA19CE" w14:textId="77777777" w:rsidTr="00CD507E">
        <w:tc>
          <w:tcPr>
            <w:tcW w:w="945" w:type="dxa"/>
          </w:tcPr>
          <w:p w14:paraId="78810DB9" w14:textId="77777777" w:rsidR="00CD507E" w:rsidRPr="00775C09" w:rsidRDefault="00CD507E" w:rsidP="00CD507E"/>
        </w:tc>
        <w:tc>
          <w:tcPr>
            <w:tcW w:w="1328" w:type="dxa"/>
          </w:tcPr>
          <w:p w14:paraId="09F86706" w14:textId="77777777" w:rsidR="00CD507E" w:rsidRPr="00775C09" w:rsidRDefault="00CD507E" w:rsidP="00CD507E"/>
        </w:tc>
        <w:tc>
          <w:tcPr>
            <w:tcW w:w="1121" w:type="dxa"/>
          </w:tcPr>
          <w:p w14:paraId="19950B8D" w14:textId="77777777" w:rsidR="00CD507E" w:rsidRPr="00775C09" w:rsidRDefault="00CD507E" w:rsidP="00CD507E"/>
        </w:tc>
        <w:tc>
          <w:tcPr>
            <w:tcW w:w="2547" w:type="dxa"/>
          </w:tcPr>
          <w:p w14:paraId="05E8E6CF" w14:textId="77777777" w:rsidR="00CD507E" w:rsidRPr="00775C09" w:rsidRDefault="00CD507E" w:rsidP="00CD507E"/>
        </w:tc>
        <w:tc>
          <w:tcPr>
            <w:tcW w:w="2408" w:type="dxa"/>
          </w:tcPr>
          <w:p w14:paraId="52EB4AB8" w14:textId="77777777" w:rsidR="00CD507E" w:rsidRPr="00775C09" w:rsidRDefault="00CD507E" w:rsidP="00CD507E"/>
        </w:tc>
        <w:tc>
          <w:tcPr>
            <w:tcW w:w="1257" w:type="dxa"/>
          </w:tcPr>
          <w:p w14:paraId="279E658A" w14:textId="77777777" w:rsidR="00CD507E" w:rsidRPr="00775C09" w:rsidRDefault="00CD507E" w:rsidP="00CD507E"/>
        </w:tc>
      </w:tr>
    </w:tbl>
    <w:p w14:paraId="52ACAFED" w14:textId="77777777" w:rsidR="00477312" w:rsidRPr="00775C09" w:rsidRDefault="00477312" w:rsidP="00477312"/>
    <w:p w14:paraId="45E60ADD" w14:textId="77777777" w:rsidR="00477312" w:rsidRPr="00775C09" w:rsidRDefault="00477312" w:rsidP="00477312">
      <w:pPr>
        <w:rPr>
          <w:lang w:val="en-US"/>
        </w:rPr>
      </w:pPr>
    </w:p>
    <w:p w14:paraId="34E5D6A2" w14:textId="77777777" w:rsidR="00865FD7" w:rsidRPr="00775C09" w:rsidRDefault="00865FD7" w:rsidP="00865FD7"/>
    <w:p w14:paraId="7067D6F8" w14:textId="77777777" w:rsidR="00865FD7" w:rsidRPr="00775C09" w:rsidRDefault="00865FD7" w:rsidP="00865FD7">
      <w:pPr>
        <w:pStyle w:val="Heading1"/>
        <w:tabs>
          <w:tab w:val="clear" w:pos="567"/>
          <w:tab w:val="num" w:pos="432"/>
        </w:tabs>
        <w:ind w:left="432" w:hanging="432"/>
      </w:pPr>
      <w:r w:rsidRPr="00775C09">
        <w:lastRenderedPageBreak/>
        <w:t>Technical advice required from the reference Technical Body</w:t>
      </w:r>
    </w:p>
    <w:p w14:paraId="6348FF78" w14:textId="39CE1ADE" w:rsidR="00CD507E" w:rsidRPr="00CD507E" w:rsidRDefault="00CD507E" w:rsidP="00865FD7">
      <w:pPr>
        <w:pStyle w:val="Guideline"/>
        <w:rPr>
          <w:i w:val="0"/>
          <w:iCs/>
        </w:rPr>
      </w:pPr>
      <w:r>
        <w:rPr>
          <w:i w:val="0"/>
          <w:iCs/>
        </w:rPr>
        <w:t>Due to the delays in the TTF progress, the MTS should review the priorities of the goals that are to be achieved by the next milestone. Additionally, the MTS should review and agree on the proposed updates to the work plan considering the risks that were realized during the second phase of the TTF work.</w:t>
      </w:r>
    </w:p>
    <w:p w14:paraId="03857830" w14:textId="77777777" w:rsidR="00865FD7" w:rsidRPr="00775C09" w:rsidRDefault="00865FD7" w:rsidP="00865FD7"/>
    <w:p w14:paraId="3260780B" w14:textId="77777777" w:rsidR="00865FD7" w:rsidRPr="00775C09" w:rsidRDefault="00865FD7" w:rsidP="00865FD7">
      <w:pPr>
        <w:pStyle w:val="Heading1"/>
        <w:tabs>
          <w:tab w:val="clear" w:pos="567"/>
          <w:tab w:val="num" w:pos="432"/>
        </w:tabs>
        <w:ind w:left="432" w:hanging="432"/>
      </w:pPr>
      <w:r w:rsidRPr="00775C09">
        <w:t>Status of the deliverables</w:t>
      </w:r>
    </w:p>
    <w:p w14:paraId="2DA939CC" w14:textId="0BDCA2D1" w:rsidR="00217CFD" w:rsidRDefault="00217CFD" w:rsidP="00217CFD">
      <w:pPr>
        <w:rPr>
          <w:lang w:val="en-US"/>
        </w:rPr>
      </w:pPr>
      <w:r>
        <w:rPr>
          <w:lang w:val="en-US"/>
        </w:rPr>
        <w:t xml:space="preserve">No deliverables have been presented for this milestone. All deliverables remain work in progress and are expected to reach stable status </w:t>
      </w:r>
      <w:r w:rsidR="00CD507E">
        <w:rPr>
          <w:lang w:val="en-US"/>
        </w:rPr>
        <w:t>by the next milestone. The corresponding dates for the deliverables are to be updates accordingly</w:t>
      </w:r>
      <w:r>
        <w:rPr>
          <w:lang w:val="en-US"/>
        </w:rPr>
        <w:t>.</w:t>
      </w:r>
    </w:p>
    <w:p w14:paraId="501B1555" w14:textId="77777777" w:rsidR="00217CFD" w:rsidRDefault="00217CFD" w:rsidP="00217CFD">
      <w:pPr>
        <w:rPr>
          <w:lang w:val="en-US"/>
        </w:rPr>
      </w:pPr>
    </w:p>
    <w:p w14:paraId="3A0E4FFF" w14:textId="77777777" w:rsidR="00217CFD" w:rsidRDefault="00217CFD" w:rsidP="00217CFD">
      <w:pPr>
        <w:rPr>
          <w:lang w:val="en-US"/>
        </w:rPr>
      </w:pPr>
      <w:r>
        <w:rPr>
          <w:lang w:val="en-US"/>
        </w:rPr>
        <w:t>The current state of the source code for Task 3 (</w:t>
      </w:r>
      <w:r w:rsidRPr="00096E23">
        <w:rPr>
          <w:lang w:val="en-US"/>
        </w:rPr>
        <w:t>TOP Features Implementation</w:t>
      </w:r>
      <w:r>
        <w:rPr>
          <w:lang w:val="en-US"/>
        </w:rPr>
        <w:t>) is available at ETSI Labs web site (</w:t>
      </w:r>
      <w:hyperlink r:id="rId11" w:history="1">
        <w:r w:rsidRPr="00F5069C">
          <w:rPr>
            <w:rStyle w:val="Hyperlink"/>
            <w:lang w:val="en-US"/>
          </w:rPr>
          <w:t>https://labs.etsi.org/rep/top</w:t>
        </w:r>
      </w:hyperlink>
      <w:r>
        <w:rPr>
          <w:lang w:val="en-US"/>
        </w:rPr>
        <w:t>).</w:t>
      </w:r>
    </w:p>
    <w:p w14:paraId="66C5C0C0" w14:textId="77777777" w:rsidR="00865FD7" w:rsidRPr="00775C09" w:rsidRDefault="00865FD7" w:rsidP="00865FD7"/>
    <w:p w14:paraId="4B8074B8" w14:textId="77777777" w:rsidR="00865FD7" w:rsidRPr="00775C09" w:rsidRDefault="00865FD7" w:rsidP="00865FD7">
      <w:pPr>
        <w:pStyle w:val="Heading1"/>
        <w:tabs>
          <w:tab w:val="clear" w:pos="567"/>
          <w:tab w:val="num" w:pos="432"/>
        </w:tabs>
        <w:ind w:left="432" w:hanging="432"/>
      </w:pPr>
      <w:r w:rsidRPr="00775C09">
        <w:t>Next report</w:t>
      </w:r>
    </w:p>
    <w:p w14:paraId="19AF0B6B" w14:textId="6B3CE6F1" w:rsidR="00865FD7" w:rsidRPr="0033742F" w:rsidRDefault="00865FD7" w:rsidP="0033742F">
      <w:r w:rsidRPr="00775C09">
        <w:t>The next report is scheduled for</w:t>
      </w:r>
      <w:r w:rsidR="00217CFD">
        <w:t xml:space="preserve">: </w:t>
      </w:r>
      <w:r w:rsidR="00217CFD" w:rsidRPr="00E222C6">
        <w:t>2023-0</w:t>
      </w:r>
      <w:r w:rsidR="005F26DA">
        <w:t>5</w:t>
      </w:r>
      <w:r w:rsidR="00217CFD" w:rsidRPr="00E222C6">
        <w:t>-</w:t>
      </w:r>
      <w:r w:rsidR="00C82712">
        <w:t>3</w:t>
      </w:r>
      <w:r w:rsidR="00217CFD" w:rsidRPr="00E222C6">
        <w:t>1</w:t>
      </w:r>
    </w:p>
    <w:sectPr w:rsidR="00865FD7" w:rsidRPr="0033742F" w:rsidSect="00F575A8">
      <w:headerReference w:type="first" r:id="rId12"/>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BB448" w14:textId="77777777" w:rsidR="00FE5E6D" w:rsidRDefault="00FE5E6D">
      <w:r>
        <w:separator/>
      </w:r>
    </w:p>
  </w:endnote>
  <w:endnote w:type="continuationSeparator" w:id="0">
    <w:p w14:paraId="13F74EF9" w14:textId="77777777" w:rsidR="00FE5E6D" w:rsidRDefault="00FE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5B98C" w14:textId="77777777" w:rsidR="00FE5E6D" w:rsidRDefault="00FE5E6D">
      <w:r>
        <w:separator/>
      </w:r>
    </w:p>
  </w:footnote>
  <w:footnote w:type="continuationSeparator" w:id="0">
    <w:p w14:paraId="15426D88" w14:textId="77777777" w:rsidR="00FE5E6D" w:rsidRDefault="00FE5E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sz w:val="20"/>
      </w:rPr>
      <w:id w:val="-1318336367"/>
      <w:docPartObj>
        <w:docPartGallery w:val="Page Numbers (Top of Page)"/>
        <w:docPartUnique/>
      </w:docPartObj>
    </w:sdtPr>
    <w:sdtEndPr/>
    <w:sdtContent>
      <w:p w14:paraId="5B6DA48E" w14:textId="77777777" w:rsidR="00DE476F" w:rsidRDefault="00DE476F" w:rsidP="00DE476F">
        <w:pPr>
          <w:pStyle w:val="Header"/>
          <w:jc w:val="right"/>
          <w:rPr>
            <w:b w:val="0"/>
            <w:bCs/>
            <w:sz w:val="20"/>
          </w:rPr>
        </w:pPr>
        <w:r>
          <w:rPr>
            <w:noProof/>
            <w:lang w:eastAsia="en-GB"/>
          </w:rPr>
          <w:drawing>
            <wp:anchor distT="0" distB="0" distL="114300" distR="114300" simplePos="0" relativeHeight="251658240" behindDoc="0" locked="0" layoutInCell="1" allowOverlap="1" wp14:anchorId="5B3E30FC" wp14:editId="7BEA15C6">
              <wp:simplePos x="0" y="0"/>
              <wp:positionH relativeFrom="column">
                <wp:posOffset>-664210</wp:posOffset>
              </wp:positionH>
              <wp:positionV relativeFrom="paragraph">
                <wp:posOffset>-229235</wp:posOffset>
              </wp:positionV>
              <wp:extent cx="2251710" cy="724535"/>
              <wp:effectExtent l="0" t="0" r="0" b="0"/>
              <wp:wrapNone/>
              <wp:docPr id="2" name="Picture 2"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710" cy="7245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sidR="00EE21FF" w:rsidRPr="00EE21FF">
          <w:rPr>
            <w:b w:val="0"/>
            <w:sz w:val="20"/>
          </w:rPr>
          <w:t xml:space="preserve">Page </w:t>
        </w:r>
        <w:r w:rsidR="00EE21FF" w:rsidRPr="00EE21FF">
          <w:rPr>
            <w:b w:val="0"/>
            <w:bCs/>
            <w:sz w:val="20"/>
          </w:rPr>
          <w:fldChar w:fldCharType="begin"/>
        </w:r>
        <w:r w:rsidR="00EE21FF" w:rsidRPr="00EE21FF">
          <w:rPr>
            <w:b w:val="0"/>
            <w:bCs/>
            <w:sz w:val="20"/>
          </w:rPr>
          <w:instrText xml:space="preserve"> PAGE </w:instrText>
        </w:r>
        <w:r w:rsidR="00EE21FF" w:rsidRPr="00EE21FF">
          <w:rPr>
            <w:b w:val="0"/>
            <w:bCs/>
            <w:sz w:val="20"/>
          </w:rPr>
          <w:fldChar w:fldCharType="separate"/>
        </w:r>
        <w:r>
          <w:rPr>
            <w:b w:val="0"/>
            <w:bCs/>
            <w:noProof/>
            <w:sz w:val="20"/>
          </w:rPr>
          <w:t>1</w:t>
        </w:r>
        <w:r w:rsidR="00EE21FF" w:rsidRPr="00EE21FF">
          <w:rPr>
            <w:b w:val="0"/>
            <w:bCs/>
            <w:sz w:val="20"/>
          </w:rPr>
          <w:fldChar w:fldCharType="end"/>
        </w:r>
        <w:r w:rsidR="00EE21FF" w:rsidRPr="00EE21FF">
          <w:rPr>
            <w:b w:val="0"/>
            <w:sz w:val="20"/>
          </w:rPr>
          <w:t xml:space="preserve"> of </w:t>
        </w:r>
        <w:r w:rsidR="00EE21FF" w:rsidRPr="00EE21FF">
          <w:rPr>
            <w:b w:val="0"/>
            <w:bCs/>
            <w:sz w:val="20"/>
          </w:rPr>
          <w:fldChar w:fldCharType="begin"/>
        </w:r>
        <w:r w:rsidR="00EE21FF" w:rsidRPr="00EE21FF">
          <w:rPr>
            <w:b w:val="0"/>
            <w:bCs/>
            <w:sz w:val="20"/>
          </w:rPr>
          <w:instrText xml:space="preserve"> NUMPAGES  </w:instrText>
        </w:r>
        <w:r w:rsidR="00EE21FF" w:rsidRPr="00EE21FF">
          <w:rPr>
            <w:b w:val="0"/>
            <w:bCs/>
            <w:sz w:val="20"/>
          </w:rPr>
          <w:fldChar w:fldCharType="separate"/>
        </w:r>
        <w:r>
          <w:rPr>
            <w:b w:val="0"/>
            <w:bCs/>
            <w:noProof/>
            <w:sz w:val="20"/>
          </w:rPr>
          <w:t>3</w:t>
        </w:r>
        <w:r w:rsidR="00EE21FF" w:rsidRPr="00EE21FF">
          <w:rPr>
            <w:b w:val="0"/>
            <w:bCs/>
            <w:sz w:val="20"/>
          </w:rPr>
          <w:fldChar w:fldCharType="end"/>
        </w:r>
      </w:p>
      <w:p w14:paraId="184ED592" w14:textId="77777777" w:rsidR="00FE5E6D" w:rsidRDefault="00F96D40" w:rsidP="00DE476F">
        <w:pPr>
          <w:pStyle w:val="Header"/>
          <w:jc w:val="right"/>
          <w:rPr>
            <w:b w:val="0"/>
            <w:sz w:val="20"/>
          </w:rPr>
        </w:pPr>
      </w:p>
    </w:sdtContent>
  </w:sdt>
  <w:p w14:paraId="236410CA" w14:textId="77777777" w:rsidR="00DE476F" w:rsidRPr="00DE476F" w:rsidRDefault="00DE476F" w:rsidP="00DE476F">
    <w:pPr>
      <w:pStyle w:val="Header"/>
      <w:jc w:val="right"/>
      <w:rPr>
        <w:b w:val="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4536BA5"/>
    <w:multiLevelType w:val="hybridMultilevel"/>
    <w:tmpl w:val="D4C40D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45365675">
    <w:abstractNumId w:val="20"/>
  </w:num>
  <w:num w:numId="2" w16cid:durableId="199953610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3770981">
    <w:abstractNumId w:val="14"/>
  </w:num>
  <w:num w:numId="4" w16cid:durableId="132057738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49259457">
    <w:abstractNumId w:val="0"/>
  </w:num>
  <w:num w:numId="6" w16cid:durableId="572786148">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16cid:durableId="41028046">
    <w:abstractNumId w:val="9"/>
  </w:num>
  <w:num w:numId="8" w16cid:durableId="4525972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20710996">
    <w:abstractNumId w:val="2"/>
  </w:num>
  <w:num w:numId="10" w16cid:durableId="13625123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73607365">
    <w:abstractNumId w:val="17"/>
  </w:num>
  <w:num w:numId="12" w16cid:durableId="87800706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38543588">
    <w:abstractNumId w:val="19"/>
  </w:num>
  <w:num w:numId="14" w16cid:durableId="2602797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307231">
    <w:abstractNumId w:val="23"/>
  </w:num>
  <w:num w:numId="16" w16cid:durableId="136972111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038211">
    <w:abstractNumId w:val="10"/>
  </w:num>
  <w:num w:numId="18" w16cid:durableId="191261384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1104881">
    <w:abstractNumId w:val="1"/>
  </w:num>
  <w:num w:numId="20" w16cid:durableId="153677297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64125518">
    <w:abstractNumId w:val="21"/>
  </w:num>
  <w:num w:numId="22" w16cid:durableId="17454469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43344593">
    <w:abstractNumId w:val="22"/>
  </w:num>
  <w:num w:numId="24" w16cid:durableId="212082547">
    <w:abstractNumId w:val="3"/>
  </w:num>
  <w:num w:numId="25" w16cid:durableId="1160775395">
    <w:abstractNumId w:val="4"/>
  </w:num>
  <w:num w:numId="26" w16cid:durableId="381907193">
    <w:abstractNumId w:val="16"/>
  </w:num>
  <w:num w:numId="27" w16cid:durableId="1443569453">
    <w:abstractNumId w:val="11"/>
  </w:num>
  <w:num w:numId="28" w16cid:durableId="145588174">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81637339">
    <w:abstractNumId w:val="13"/>
  </w:num>
  <w:num w:numId="30" w16cid:durableId="1380131580">
    <w:abstractNumId w:val="13"/>
  </w:num>
  <w:num w:numId="31" w16cid:durableId="1142772681">
    <w:abstractNumId w:val="6"/>
  </w:num>
  <w:num w:numId="32" w16cid:durableId="499975032">
    <w:abstractNumId w:val="6"/>
  </w:num>
  <w:num w:numId="33" w16cid:durableId="1905599007">
    <w:abstractNumId w:val="7"/>
  </w:num>
  <w:num w:numId="34" w16cid:durableId="1468084697">
    <w:abstractNumId w:val="16"/>
  </w:num>
  <w:num w:numId="35" w16cid:durableId="783159070">
    <w:abstractNumId w:val="5"/>
  </w:num>
  <w:num w:numId="36" w16cid:durableId="173541994">
    <w:abstractNumId w:val="15"/>
  </w:num>
  <w:num w:numId="37" w16cid:durableId="647825467">
    <w:abstractNumId w:val="8"/>
  </w:num>
  <w:num w:numId="38" w16cid:durableId="326597318">
    <w:abstractNumId w:val="12"/>
  </w:num>
  <w:num w:numId="39" w16cid:durableId="16571081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trackRevisions/>
  <w:defaultTabStop w:val="567"/>
  <w:hyphenationZone w:val="425"/>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I0NbA0NTQ3MjQyMDNU0lEKTi0uzszPAykwqgUAGPDOwiwAAAA="/>
  </w:docVars>
  <w:rsids>
    <w:rsidRoot w:val="00DA796B"/>
    <w:rsid w:val="00014BEC"/>
    <w:rsid w:val="00016062"/>
    <w:rsid w:val="00023CD4"/>
    <w:rsid w:val="00036FB9"/>
    <w:rsid w:val="000633C1"/>
    <w:rsid w:val="00064203"/>
    <w:rsid w:val="00067A31"/>
    <w:rsid w:val="00083911"/>
    <w:rsid w:val="0008414C"/>
    <w:rsid w:val="000A1222"/>
    <w:rsid w:val="000A64E3"/>
    <w:rsid w:val="000A6769"/>
    <w:rsid w:val="000C75E1"/>
    <w:rsid w:val="000F2D9E"/>
    <w:rsid w:val="000F3FC0"/>
    <w:rsid w:val="00140EDE"/>
    <w:rsid w:val="0014183B"/>
    <w:rsid w:val="0014707A"/>
    <w:rsid w:val="00163587"/>
    <w:rsid w:val="001757B9"/>
    <w:rsid w:val="00184D17"/>
    <w:rsid w:val="00190FCC"/>
    <w:rsid w:val="00197C46"/>
    <w:rsid w:val="001C3D41"/>
    <w:rsid w:val="001E1355"/>
    <w:rsid w:val="001E2081"/>
    <w:rsid w:val="001F6978"/>
    <w:rsid w:val="00213182"/>
    <w:rsid w:val="00217CFD"/>
    <w:rsid w:val="002361ED"/>
    <w:rsid w:val="00244D2C"/>
    <w:rsid w:val="00257A30"/>
    <w:rsid w:val="002615CE"/>
    <w:rsid w:val="00276292"/>
    <w:rsid w:val="00276A09"/>
    <w:rsid w:val="002803EC"/>
    <w:rsid w:val="002967EE"/>
    <w:rsid w:val="002A68DB"/>
    <w:rsid w:val="002E42E6"/>
    <w:rsid w:val="002F0FF3"/>
    <w:rsid w:val="00301EAE"/>
    <w:rsid w:val="003022ED"/>
    <w:rsid w:val="00314B9B"/>
    <w:rsid w:val="0031644D"/>
    <w:rsid w:val="00334B5B"/>
    <w:rsid w:val="0033530F"/>
    <w:rsid w:val="0033742F"/>
    <w:rsid w:val="00340FE3"/>
    <w:rsid w:val="003421C8"/>
    <w:rsid w:val="00342C1C"/>
    <w:rsid w:val="003537A7"/>
    <w:rsid w:val="003559B9"/>
    <w:rsid w:val="0036682D"/>
    <w:rsid w:val="0037450F"/>
    <w:rsid w:val="003818F1"/>
    <w:rsid w:val="003930E3"/>
    <w:rsid w:val="003B1C9C"/>
    <w:rsid w:val="003C37D9"/>
    <w:rsid w:val="003D285A"/>
    <w:rsid w:val="003E29A4"/>
    <w:rsid w:val="003E7969"/>
    <w:rsid w:val="003F1AF4"/>
    <w:rsid w:val="004126B1"/>
    <w:rsid w:val="004176AE"/>
    <w:rsid w:val="0042612C"/>
    <w:rsid w:val="00445071"/>
    <w:rsid w:val="00463495"/>
    <w:rsid w:val="00477312"/>
    <w:rsid w:val="0048577A"/>
    <w:rsid w:val="004876E5"/>
    <w:rsid w:val="004A04B1"/>
    <w:rsid w:val="004D5AD2"/>
    <w:rsid w:val="00500427"/>
    <w:rsid w:val="005203E7"/>
    <w:rsid w:val="00520BBA"/>
    <w:rsid w:val="005510D7"/>
    <w:rsid w:val="0055582E"/>
    <w:rsid w:val="0057496D"/>
    <w:rsid w:val="00583470"/>
    <w:rsid w:val="00583C73"/>
    <w:rsid w:val="00597F7E"/>
    <w:rsid w:val="005B2629"/>
    <w:rsid w:val="005B335B"/>
    <w:rsid w:val="005B34D5"/>
    <w:rsid w:val="005B58E9"/>
    <w:rsid w:val="005D3D4F"/>
    <w:rsid w:val="005E567D"/>
    <w:rsid w:val="005F26DA"/>
    <w:rsid w:val="00645150"/>
    <w:rsid w:val="00690DE7"/>
    <w:rsid w:val="00696899"/>
    <w:rsid w:val="006B7120"/>
    <w:rsid w:val="006C0FDC"/>
    <w:rsid w:val="006D2D66"/>
    <w:rsid w:val="006D3EF6"/>
    <w:rsid w:val="006F0340"/>
    <w:rsid w:val="00722585"/>
    <w:rsid w:val="0073374A"/>
    <w:rsid w:val="00762B09"/>
    <w:rsid w:val="00771F98"/>
    <w:rsid w:val="00775C09"/>
    <w:rsid w:val="007A528C"/>
    <w:rsid w:val="007B4117"/>
    <w:rsid w:val="007C17CB"/>
    <w:rsid w:val="007C5D30"/>
    <w:rsid w:val="00820002"/>
    <w:rsid w:val="00856D77"/>
    <w:rsid w:val="00860D7A"/>
    <w:rsid w:val="00865FD7"/>
    <w:rsid w:val="0089162D"/>
    <w:rsid w:val="00893E28"/>
    <w:rsid w:val="008B59D7"/>
    <w:rsid w:val="008C1C80"/>
    <w:rsid w:val="008E2E97"/>
    <w:rsid w:val="008E2FF3"/>
    <w:rsid w:val="008F2DB0"/>
    <w:rsid w:val="009314D5"/>
    <w:rsid w:val="00934844"/>
    <w:rsid w:val="0094129A"/>
    <w:rsid w:val="009B4161"/>
    <w:rsid w:val="009B58BC"/>
    <w:rsid w:val="009D1217"/>
    <w:rsid w:val="009D3E29"/>
    <w:rsid w:val="009D76B0"/>
    <w:rsid w:val="009E3F42"/>
    <w:rsid w:val="00A00DE1"/>
    <w:rsid w:val="00A321B5"/>
    <w:rsid w:val="00A33351"/>
    <w:rsid w:val="00A36BA1"/>
    <w:rsid w:val="00A4262E"/>
    <w:rsid w:val="00A5404C"/>
    <w:rsid w:val="00A61ECE"/>
    <w:rsid w:val="00A63AE0"/>
    <w:rsid w:val="00A67F09"/>
    <w:rsid w:val="00A7130A"/>
    <w:rsid w:val="00A83893"/>
    <w:rsid w:val="00A906B1"/>
    <w:rsid w:val="00A95736"/>
    <w:rsid w:val="00AB41C5"/>
    <w:rsid w:val="00AC34E8"/>
    <w:rsid w:val="00AE32BB"/>
    <w:rsid w:val="00AE5652"/>
    <w:rsid w:val="00AF1CF3"/>
    <w:rsid w:val="00AF5D04"/>
    <w:rsid w:val="00B0264B"/>
    <w:rsid w:val="00B15523"/>
    <w:rsid w:val="00B161FA"/>
    <w:rsid w:val="00B16C32"/>
    <w:rsid w:val="00B326CA"/>
    <w:rsid w:val="00BB0404"/>
    <w:rsid w:val="00BB0AAB"/>
    <w:rsid w:val="00BB6EE0"/>
    <w:rsid w:val="00BD5E6F"/>
    <w:rsid w:val="00BE376D"/>
    <w:rsid w:val="00BE5671"/>
    <w:rsid w:val="00BE7E88"/>
    <w:rsid w:val="00C17773"/>
    <w:rsid w:val="00C374FE"/>
    <w:rsid w:val="00C435B8"/>
    <w:rsid w:val="00C66759"/>
    <w:rsid w:val="00C7076A"/>
    <w:rsid w:val="00C82712"/>
    <w:rsid w:val="00C92B25"/>
    <w:rsid w:val="00CC3B43"/>
    <w:rsid w:val="00CD507E"/>
    <w:rsid w:val="00D03C0F"/>
    <w:rsid w:val="00D064F9"/>
    <w:rsid w:val="00D163F1"/>
    <w:rsid w:val="00D32BEB"/>
    <w:rsid w:val="00D3357A"/>
    <w:rsid w:val="00D67227"/>
    <w:rsid w:val="00D81142"/>
    <w:rsid w:val="00DA4C70"/>
    <w:rsid w:val="00DA7072"/>
    <w:rsid w:val="00DA796B"/>
    <w:rsid w:val="00DC5AEF"/>
    <w:rsid w:val="00DE476F"/>
    <w:rsid w:val="00E22CDB"/>
    <w:rsid w:val="00E32B38"/>
    <w:rsid w:val="00E41D46"/>
    <w:rsid w:val="00E504A2"/>
    <w:rsid w:val="00E54081"/>
    <w:rsid w:val="00E63973"/>
    <w:rsid w:val="00EA3A63"/>
    <w:rsid w:val="00ED3071"/>
    <w:rsid w:val="00EE21FF"/>
    <w:rsid w:val="00EF59F4"/>
    <w:rsid w:val="00F04B86"/>
    <w:rsid w:val="00F2785A"/>
    <w:rsid w:val="00F3049A"/>
    <w:rsid w:val="00F42756"/>
    <w:rsid w:val="00F575A8"/>
    <w:rsid w:val="00F601F1"/>
    <w:rsid w:val="00F616D4"/>
    <w:rsid w:val="00F6311E"/>
    <w:rsid w:val="00F734DF"/>
    <w:rsid w:val="00F73C08"/>
    <w:rsid w:val="00F8677E"/>
    <w:rsid w:val="00F87530"/>
    <w:rsid w:val="00F96D40"/>
    <w:rsid w:val="00FA66F7"/>
    <w:rsid w:val="00FD068E"/>
    <w:rsid w:val="00FE5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17267A83"/>
  <w15:docId w15:val="{98843F14-9D93-4F04-BC9E-8AB4908A5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eastAsia="en-US"/>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sid w:val="00F575A8"/>
    <w:rPr>
      <w:sz w:val="16"/>
    </w:rPr>
  </w:style>
  <w:style w:type="paragraph" w:styleId="CommentText">
    <w:name w:val="annotation text"/>
    <w:basedOn w:val="Normal"/>
    <w:link w:val="CommentTextChar"/>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link w:val="BalloonText"/>
    <w:rsid w:val="00C66759"/>
    <w:rPr>
      <w:rFonts w:ascii="Tahoma" w:hAnsi="Tahoma" w:cs="Tahoma"/>
      <w:sz w:val="16"/>
      <w:szCs w:val="16"/>
      <w:lang w:val="en-GB"/>
    </w:rPr>
  </w:style>
  <w:style w:type="character" w:customStyle="1" w:styleId="HeaderChar">
    <w:name w:val="Header Char"/>
    <w:link w:val="Header"/>
    <w:uiPriority w:val="99"/>
    <w:rsid w:val="000C75E1"/>
    <w:rPr>
      <w:rFonts w:ascii="Arial" w:hAnsi="Arial"/>
      <w:b/>
      <w:sz w:val="32"/>
      <w:lang w:val="en-GB"/>
    </w:rPr>
  </w:style>
  <w:style w:type="character" w:customStyle="1" w:styleId="normaltextrun">
    <w:name w:val="normaltextrun"/>
    <w:basedOn w:val="DefaultParagraphFont"/>
    <w:rsid w:val="00A83893"/>
  </w:style>
  <w:style w:type="character" w:customStyle="1" w:styleId="eop">
    <w:name w:val="eop"/>
    <w:basedOn w:val="DefaultParagraphFont"/>
    <w:rsid w:val="00A83893"/>
  </w:style>
  <w:style w:type="paragraph" w:styleId="ListParagraph">
    <w:name w:val="List Paragraph"/>
    <w:basedOn w:val="Normal"/>
    <w:uiPriority w:val="99"/>
    <w:qFormat/>
    <w:rsid w:val="00FA66F7"/>
    <w:pPr>
      <w:ind w:left="720"/>
      <w:contextualSpacing/>
    </w:pPr>
  </w:style>
  <w:style w:type="paragraph" w:styleId="Revision">
    <w:name w:val="Revision"/>
    <w:hidden/>
    <w:uiPriority w:val="99"/>
    <w:semiHidden/>
    <w:rsid w:val="009D3E29"/>
    <w:rPr>
      <w:rFonts w:ascii="Arial" w:hAnsi="Arial"/>
      <w:lang w:eastAsia="en-US"/>
    </w:rPr>
  </w:style>
  <w:style w:type="paragraph" w:styleId="CommentSubject">
    <w:name w:val="annotation subject"/>
    <w:basedOn w:val="CommentText"/>
    <w:next w:val="CommentText"/>
    <w:link w:val="CommentSubjectChar"/>
    <w:semiHidden/>
    <w:unhideWhenUsed/>
    <w:rsid w:val="00257A30"/>
    <w:rPr>
      <w:b/>
      <w:bCs/>
    </w:rPr>
  </w:style>
  <w:style w:type="character" w:customStyle="1" w:styleId="CommentTextChar">
    <w:name w:val="Comment Text Char"/>
    <w:basedOn w:val="DefaultParagraphFont"/>
    <w:link w:val="CommentText"/>
    <w:semiHidden/>
    <w:rsid w:val="00257A30"/>
    <w:rPr>
      <w:rFonts w:ascii="Arial" w:hAnsi="Arial"/>
      <w:lang w:eastAsia="en-US"/>
    </w:rPr>
  </w:style>
  <w:style w:type="character" w:customStyle="1" w:styleId="CommentSubjectChar">
    <w:name w:val="Comment Subject Char"/>
    <w:basedOn w:val="CommentTextChar"/>
    <w:link w:val="CommentSubject"/>
    <w:semiHidden/>
    <w:rsid w:val="00257A30"/>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bs.etsi.org/rep/top"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BB67151F374747BD5D3166E0268B66" ma:contentTypeVersion="6" ma:contentTypeDescription="Create a new document." ma:contentTypeScope="" ma:versionID="017bbf52d026aed7cb51cdd034867937">
  <xsd:schema xmlns:xsd="http://www.w3.org/2001/XMLSchema" xmlns:xs="http://www.w3.org/2001/XMLSchema" xmlns:p="http://schemas.microsoft.com/office/2006/metadata/properties" xmlns:ns2="39123e5b-59ad-4d35-bd74-72e82eb7bc25" targetNamespace="http://schemas.microsoft.com/office/2006/metadata/properties" ma:root="true" ma:fieldsID="5cd33442a77c35a4cc25c45fc05efc0e" ns2:_="">
    <xsd:import namespace="39123e5b-59ad-4d35-bd74-72e82eb7bc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23e5b-59ad-4d35-bd74-72e82eb7bc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EDAAC-C63B-4A4C-8048-878990C54E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23e5b-59ad-4d35-bd74-72e82eb7bc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18362-CC9C-44E1-962E-14FF92953F23}">
  <ds:schemaRefs>
    <ds:schemaRef ds:uri="9069a6be-6d50-495c-b8b5-a075e1fb0980"/>
    <ds:schemaRef ds:uri="http://schemas.microsoft.com/office/2006/documentManagement/types"/>
    <ds:schemaRef ds:uri="http://schemas.openxmlformats.org/package/2006/metadata/core-properties"/>
    <ds:schemaRef ds:uri="99dbe142-a482-4b7a-8248-c4a00574f1f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C62B56-3A7B-4774-9B61-7D529CBA3170}">
  <ds:schemaRefs>
    <ds:schemaRef ds:uri="http://schemas.microsoft.com/sharepoint/v3/contenttype/forms"/>
  </ds:schemaRefs>
</ds:datastoreItem>
</file>

<file path=customXml/itemProps4.xml><?xml version="1.0" encoding="utf-8"?>
<ds:datastoreItem xmlns:ds="http://schemas.openxmlformats.org/officeDocument/2006/customXml" ds:itemID="{21E5953E-1683-40A1-BA18-958A28BA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593</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Progress Report</vt:lpstr>
    </vt:vector>
  </TitlesOfParts>
  <Company>ETSI secretariat</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Report</dc:title>
  <dc:subject/>
  <dc:creator>Funded Project Support</dc:creator>
  <cp:keywords/>
  <cp:lastModifiedBy>Martti Käärik</cp:lastModifiedBy>
  <cp:revision>3</cp:revision>
  <cp:lastPrinted>2003-06-24T07:18:00Z</cp:lastPrinted>
  <dcterms:created xsi:type="dcterms:W3CDTF">2023-01-24T08:42:00Z</dcterms:created>
  <dcterms:modified xsi:type="dcterms:W3CDTF">2023-01-24T08:43:00Z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0x010100FBBB67151F374747BD5D3166E0268B66</vt:lpwstr>
  </property>
  <property fmtid="{D5CDD505-2E9C-101B-9397-08002B2CF9AE}" pid="3" name="_dlc_DocIdItemGuid">
    <vt:lpwstr>e4c4d88b-2335-423f-9759-7a440f3db3ae</vt:lpwstr>
  </property>
</Properties>
</file>