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EFAD" w14:textId="1E7012F5" w:rsidR="00BC33F7" w:rsidRPr="00F54712" w:rsidRDefault="00844F29" w:rsidP="00BC33F7">
      <w:pPr>
        <w:pStyle w:val="ZA"/>
        <w:framePr w:w="10563" w:h="782" w:hRule="exact" w:wrap="notBeside" w:hAnchor="page" w:x="661" w:y="646" w:anchorLock="1"/>
        <w:pBdr>
          <w:bottom w:val="none" w:sz="0" w:space="0" w:color="auto"/>
        </w:pBdr>
        <w:jc w:val="center"/>
        <w:rPr>
          <w:noProof w:val="0"/>
        </w:rPr>
      </w:pPr>
      <w:bookmarkStart w:id="0" w:name="docnumber"/>
      <w:r w:rsidRPr="00F54712">
        <w:rPr>
          <w:noProof w:val="0"/>
          <w:sz w:val="64"/>
        </w:rPr>
        <w:t xml:space="preserve">ETSI </w:t>
      </w:r>
      <w:r w:rsidR="00BC33F7" w:rsidRPr="00F54712">
        <w:rPr>
          <w:noProof w:val="0"/>
          <w:sz w:val="64"/>
        </w:rPr>
        <w:t xml:space="preserve">TR </w:t>
      </w:r>
      <w:r w:rsidR="007B6130" w:rsidRPr="00F54712">
        <w:rPr>
          <w:noProof w:val="0"/>
          <w:sz w:val="64"/>
        </w:rPr>
        <w:t>1</w:t>
      </w:r>
      <w:r w:rsidR="007B6130">
        <w:rPr>
          <w:noProof w:val="0"/>
          <w:sz w:val="64"/>
        </w:rPr>
        <w:t>DD</w:t>
      </w:r>
      <w:r w:rsidR="007B6130" w:rsidRPr="00F54712">
        <w:rPr>
          <w:noProof w:val="0"/>
          <w:sz w:val="64"/>
        </w:rPr>
        <w:t xml:space="preserve"> </w:t>
      </w:r>
      <w:bookmarkEnd w:id="0"/>
      <w:r w:rsidR="007B6130">
        <w:rPr>
          <w:noProof w:val="0"/>
          <w:sz w:val="64"/>
        </w:rPr>
        <w:t>DDD</w:t>
      </w:r>
      <w:r w:rsidR="00BC33F7" w:rsidRPr="00F54712">
        <w:rPr>
          <w:noProof w:val="0"/>
          <w:sz w:val="64"/>
        </w:rPr>
        <w:t xml:space="preserve"> </w:t>
      </w:r>
      <w:r w:rsidR="00BC33F7" w:rsidRPr="00F54712">
        <w:rPr>
          <w:noProof w:val="0"/>
        </w:rPr>
        <w:t>V</w:t>
      </w:r>
      <w:r w:rsidR="00FF509A">
        <w:rPr>
          <w:noProof w:val="0"/>
        </w:rPr>
        <w:t>0.0.1</w:t>
      </w:r>
      <w:r w:rsidR="00BC33F7" w:rsidRPr="00F54712">
        <w:rPr>
          <w:rStyle w:val="ZGSM"/>
          <w:noProof w:val="0"/>
        </w:rPr>
        <w:t xml:space="preserve"> </w:t>
      </w:r>
      <w:r w:rsidR="00BC33F7" w:rsidRPr="00F54712">
        <w:rPr>
          <w:noProof w:val="0"/>
          <w:sz w:val="32"/>
        </w:rPr>
        <w:t>(</w:t>
      </w:r>
      <w:bookmarkStart w:id="1" w:name="docdate"/>
      <w:r w:rsidR="00FF509A">
        <w:rPr>
          <w:noProof w:val="0"/>
          <w:sz w:val="32"/>
        </w:rPr>
        <w:t>2023</w:t>
      </w:r>
      <w:r w:rsidR="00BC33F7" w:rsidRPr="00F54712">
        <w:rPr>
          <w:noProof w:val="0"/>
          <w:sz w:val="32"/>
        </w:rPr>
        <w:t>-</w:t>
      </w:r>
      <w:bookmarkEnd w:id="1"/>
      <w:r w:rsidR="00FF509A">
        <w:rPr>
          <w:noProof w:val="0"/>
          <w:sz w:val="32"/>
        </w:rPr>
        <w:t>01</w:t>
      </w:r>
      <w:r w:rsidR="00BC33F7" w:rsidRPr="00F54712">
        <w:rPr>
          <w:noProof w:val="0"/>
          <w:sz w:val="32"/>
          <w:szCs w:val="32"/>
        </w:rPr>
        <w:t>)</w:t>
      </w:r>
    </w:p>
    <w:p w14:paraId="25E6A082" w14:textId="6821C0C8" w:rsidR="00D83CB3" w:rsidRPr="00A154F0" w:rsidRDefault="00FF509A" w:rsidP="00D83CB3">
      <w:pPr>
        <w:pStyle w:val="ZT"/>
        <w:framePr w:w="10206" w:h="3701" w:hRule="exact" w:wrap="notBeside" w:hAnchor="page" w:x="880" w:y="7094"/>
        <w:spacing w:line="240" w:lineRule="auto"/>
      </w:pPr>
      <w:bookmarkStart w:id="2" w:name="doctitle"/>
      <w:r>
        <w:t>User Group</w:t>
      </w:r>
      <w:r w:rsidR="00D83CB3" w:rsidRPr="00A154F0">
        <w:t>;</w:t>
      </w:r>
    </w:p>
    <w:p w14:paraId="53F03E7D" w14:textId="254B8652" w:rsidR="00BC33F7" w:rsidRPr="00F54712" w:rsidRDefault="00FF509A" w:rsidP="00D83CB3">
      <w:pPr>
        <w:pStyle w:val="ZT"/>
        <w:framePr w:w="10206" w:h="3701" w:hRule="exact" w:wrap="notBeside" w:hAnchor="page" w:x="880" w:y="7094"/>
        <w:spacing w:line="240" w:lineRule="auto"/>
      </w:pPr>
      <w:r>
        <w:rPr>
          <w:lang w:eastAsia="fr-FR"/>
        </w:rPr>
        <w:t>Data</w:t>
      </w:r>
      <w:r w:rsidRPr="0017278B">
        <w:rPr>
          <w:lang w:eastAsia="fr-FR"/>
        </w:rPr>
        <w:t xml:space="preserve"> and analysis of the impact on users of from the COVID-19 lockdown on the use of ICT products and services</w:t>
      </w:r>
    </w:p>
    <w:bookmarkStart w:id="3" w:name="docdiskette"/>
    <w:bookmarkEnd w:id="2"/>
    <w:p w14:paraId="429A25F7" w14:textId="77777777" w:rsidR="00BC33F7" w:rsidRPr="00F54712" w:rsidRDefault="00D83CB3" w:rsidP="00D83CB3">
      <w:pPr>
        <w:pStyle w:val="ZD"/>
        <w:framePr w:wrap="notBeside"/>
      </w:pPr>
      <w:r w:rsidRPr="00A154F0">
        <w:fldChar w:fldCharType="begin"/>
      </w:r>
      <w:r w:rsidRPr="00A154F0">
        <w:instrText>symbol 60 \f "Wingdings" \s 16</w:instrText>
      </w:r>
      <w:r w:rsidRPr="00A154F0">
        <w:fldChar w:fldCharType="separate"/>
      </w:r>
      <w:r w:rsidRPr="00A154F0">
        <w:rPr>
          <w:rFonts w:ascii="Wingdings" w:hAnsi="Wingdings"/>
        </w:rPr>
        <w:t>&lt;</w:t>
      </w:r>
      <w:r w:rsidRPr="00A154F0">
        <w:fldChar w:fldCharType="end"/>
      </w:r>
      <w:bookmarkEnd w:id="3"/>
    </w:p>
    <w:p w14:paraId="2EAF456E" w14:textId="77777777" w:rsidR="00BC33F7" w:rsidRPr="00F54712" w:rsidRDefault="00BC33F7" w:rsidP="00BC33F7"/>
    <w:p w14:paraId="1507587E" w14:textId="77777777" w:rsidR="00BC33F7" w:rsidRPr="00F54712" w:rsidRDefault="00BC33F7" w:rsidP="00BC33F7"/>
    <w:p w14:paraId="55DA90D8" w14:textId="77777777" w:rsidR="00BC33F7" w:rsidRPr="00F54712" w:rsidRDefault="00BC33F7" w:rsidP="00BC33F7"/>
    <w:p w14:paraId="3CF39BB7" w14:textId="77777777" w:rsidR="00BC33F7" w:rsidRPr="00F54712" w:rsidRDefault="00BC33F7" w:rsidP="00BC33F7"/>
    <w:p w14:paraId="68A98EE0" w14:textId="77777777" w:rsidR="00BC33F7" w:rsidRPr="00F54712" w:rsidRDefault="00BC33F7" w:rsidP="00BC33F7">
      <w:pPr>
        <w:pStyle w:val="ZB"/>
        <w:framePr w:wrap="notBeside" w:hAnchor="page" w:x="901" w:y="1421"/>
        <w:rPr>
          <w:noProof w:val="0"/>
        </w:rPr>
      </w:pPr>
    </w:p>
    <w:p w14:paraId="4BDB0795" w14:textId="77777777" w:rsidR="00BC33F7" w:rsidRPr="00F54712" w:rsidRDefault="00BC33F7" w:rsidP="00BC33F7">
      <w:pPr>
        <w:pStyle w:val="FP"/>
        <w:framePr w:h="1625" w:hRule="exact" w:wrap="notBeside" w:vAnchor="page" w:hAnchor="page" w:x="871" w:y="11581"/>
        <w:spacing w:after="240"/>
        <w:jc w:val="center"/>
        <w:rPr>
          <w:rFonts w:ascii="Arial" w:hAnsi="Arial" w:cs="Arial"/>
          <w:sz w:val="18"/>
          <w:szCs w:val="18"/>
        </w:rPr>
      </w:pPr>
      <w:bookmarkStart w:id="4" w:name="GSBox"/>
    </w:p>
    <w:p w14:paraId="2CBEC1A9" w14:textId="77777777" w:rsidR="00BC33F7" w:rsidRPr="00BF4918"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5" w:name="doctypelong"/>
      <w:bookmarkEnd w:id="4"/>
      <w:r w:rsidRPr="00BF4918">
        <w:rPr>
          <w:rFonts w:ascii="Century Gothic" w:hAnsi="Century Gothic"/>
          <w:b/>
          <w:i w:val="0"/>
          <w:caps/>
          <w:noProof w:val="0"/>
          <w:color w:val="FFFFFF"/>
          <w:sz w:val="32"/>
          <w:szCs w:val="32"/>
        </w:rPr>
        <w:t>TECHNICAL REPORT</w:t>
      </w:r>
    </w:p>
    <w:bookmarkEnd w:id="5"/>
    <w:p w14:paraId="2D1844C4" w14:textId="77777777" w:rsidR="00BC33F7" w:rsidRPr="00F54712" w:rsidRDefault="00BC33F7" w:rsidP="00BC33F7">
      <w:pPr>
        <w:rPr>
          <w:rFonts w:ascii="Arial" w:hAnsi="Arial" w:cs="Arial"/>
          <w:sz w:val="18"/>
          <w:szCs w:val="18"/>
        </w:rPr>
        <w:sectPr w:rsidR="00BC33F7" w:rsidRPr="00F54712" w:rsidSect="0059609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FAC39E4" w14:textId="77777777" w:rsidR="0065180D" w:rsidRPr="00F54712" w:rsidRDefault="0065180D" w:rsidP="0065180D">
      <w:pPr>
        <w:pStyle w:val="FP"/>
        <w:framePr w:w="9758" w:h="1349" w:hRule="exact" w:wrap="notBeside" w:vAnchor="page" w:hAnchor="page" w:x="1169" w:y="1685"/>
        <w:pBdr>
          <w:bottom w:val="single" w:sz="6" w:space="1" w:color="auto"/>
        </w:pBdr>
        <w:ind w:left="2835" w:right="2835"/>
        <w:jc w:val="center"/>
      </w:pPr>
      <w:bookmarkStart w:id="6" w:name="page2"/>
      <w:r w:rsidRPr="00F54712">
        <w:lastRenderedPageBreak/>
        <w:t>Reference</w:t>
      </w:r>
    </w:p>
    <w:p w14:paraId="4D35ABBB" w14:textId="33918A35" w:rsidR="0065180D" w:rsidRPr="00F54712" w:rsidRDefault="0065180D" w:rsidP="0065180D">
      <w:pPr>
        <w:pStyle w:val="FP"/>
        <w:framePr w:w="9758" w:h="1349" w:hRule="exact" w:wrap="notBeside" w:vAnchor="page" w:hAnchor="page" w:x="1169" w:y="1685"/>
        <w:ind w:left="2268" w:right="2268"/>
        <w:jc w:val="center"/>
        <w:rPr>
          <w:rFonts w:ascii="Arial" w:hAnsi="Arial"/>
          <w:sz w:val="18"/>
        </w:rPr>
      </w:pPr>
      <w:bookmarkStart w:id="7" w:name="docworkitem"/>
      <w:r w:rsidRPr="00F54712">
        <w:rPr>
          <w:rFonts w:ascii="Arial" w:hAnsi="Arial"/>
          <w:sz w:val="18"/>
        </w:rPr>
        <w:t>&lt;</w:t>
      </w:r>
      <w:proofErr w:type="spellStart"/>
      <w:r w:rsidRPr="00F54712">
        <w:rPr>
          <w:rFonts w:ascii="Arial" w:hAnsi="Arial"/>
          <w:sz w:val="18"/>
        </w:rPr>
        <w:t>Workitem</w:t>
      </w:r>
      <w:proofErr w:type="spellEnd"/>
      <w:r w:rsidR="00FF509A">
        <w:rPr>
          <w:rFonts w:ascii="Arial" w:hAnsi="Arial"/>
          <w:sz w:val="18"/>
        </w:rPr>
        <w:t xml:space="preserve"> User#54</w:t>
      </w:r>
      <w:r w:rsidRPr="00F54712">
        <w:rPr>
          <w:rFonts w:ascii="Arial" w:hAnsi="Arial"/>
          <w:sz w:val="18"/>
        </w:rPr>
        <w:t>&gt;</w:t>
      </w:r>
      <w:bookmarkEnd w:id="7"/>
    </w:p>
    <w:p w14:paraId="1F09FEDA" w14:textId="77777777" w:rsidR="0065180D" w:rsidRPr="000B4170" w:rsidRDefault="0065180D" w:rsidP="0065180D">
      <w:pPr>
        <w:pStyle w:val="FP"/>
        <w:framePr w:w="9758" w:h="1349" w:hRule="exact" w:wrap="notBeside" w:vAnchor="page" w:hAnchor="page" w:x="1169" w:y="1685"/>
        <w:pBdr>
          <w:bottom w:val="single" w:sz="6" w:space="1" w:color="auto"/>
        </w:pBdr>
        <w:spacing w:before="240"/>
        <w:ind w:left="2835" w:right="2835"/>
        <w:jc w:val="center"/>
        <w:rPr>
          <w:lang w:val="fr-FR"/>
        </w:rPr>
      </w:pPr>
      <w:r w:rsidRPr="000B4170">
        <w:rPr>
          <w:lang w:val="fr-FR"/>
        </w:rPr>
        <w:t>Keywords</w:t>
      </w:r>
    </w:p>
    <w:p w14:paraId="5D82A379" w14:textId="5D128136" w:rsidR="0065180D" w:rsidRPr="000B4170" w:rsidRDefault="0065180D" w:rsidP="0065180D">
      <w:pPr>
        <w:pStyle w:val="FP"/>
        <w:framePr w:w="9758" w:h="1349" w:hRule="exact" w:wrap="notBeside" w:vAnchor="page" w:hAnchor="page" w:x="1169" w:y="1685"/>
        <w:ind w:left="2835" w:right="2835"/>
        <w:jc w:val="center"/>
        <w:rPr>
          <w:rFonts w:ascii="Arial" w:hAnsi="Arial"/>
          <w:sz w:val="18"/>
          <w:lang w:val="fr-FR"/>
        </w:rPr>
      </w:pPr>
      <w:bookmarkStart w:id="8" w:name="keywords"/>
      <w:r w:rsidRPr="000B4170">
        <w:rPr>
          <w:rFonts w:ascii="Arial" w:hAnsi="Arial"/>
          <w:sz w:val="18"/>
          <w:lang w:val="fr-FR"/>
        </w:rPr>
        <w:t>&lt;</w:t>
      </w:r>
      <w:r w:rsidR="00FF509A" w:rsidRPr="00FF509A">
        <w:t xml:space="preserve"> </w:t>
      </w:r>
      <w:r w:rsidR="00FF509A" w:rsidRPr="00FF509A">
        <w:rPr>
          <w:rFonts w:ascii="Arial" w:hAnsi="Arial"/>
          <w:sz w:val="18"/>
          <w:lang w:val="fr-FR"/>
        </w:rPr>
        <w:t xml:space="preserve">User, Survey, ICT, </w:t>
      </w:r>
      <w:proofErr w:type="spellStart"/>
      <w:r w:rsidR="00FF509A" w:rsidRPr="00FF509A">
        <w:rPr>
          <w:rFonts w:ascii="Arial" w:hAnsi="Arial"/>
          <w:sz w:val="18"/>
          <w:lang w:val="fr-FR"/>
        </w:rPr>
        <w:t>Pandemy</w:t>
      </w:r>
      <w:proofErr w:type="spellEnd"/>
      <w:r w:rsidRPr="000B4170">
        <w:rPr>
          <w:rFonts w:ascii="Arial" w:hAnsi="Arial"/>
          <w:sz w:val="18"/>
          <w:lang w:val="fr-FR"/>
        </w:rPr>
        <w:t>&gt;</w:t>
      </w:r>
      <w:bookmarkEnd w:id="8"/>
    </w:p>
    <w:p w14:paraId="7EFBAA61" w14:textId="77777777" w:rsidR="00BC33F7" w:rsidRPr="000B4170" w:rsidRDefault="00BC33F7" w:rsidP="00BC33F7">
      <w:pPr>
        <w:rPr>
          <w:lang w:val="fr-FR"/>
        </w:rPr>
      </w:pPr>
    </w:p>
    <w:p w14:paraId="17C43CD5" w14:textId="77777777" w:rsidR="00BC33F7" w:rsidRPr="000B4170" w:rsidRDefault="00BC33F7" w:rsidP="0065180D">
      <w:pPr>
        <w:pStyle w:val="FP"/>
        <w:framePr w:w="9758" w:wrap="notBeside" w:vAnchor="page" w:hAnchor="page" w:x="1169" w:y="3908"/>
        <w:spacing w:after="240"/>
        <w:ind w:left="2835" w:right="2835"/>
        <w:jc w:val="center"/>
        <w:rPr>
          <w:rFonts w:ascii="Arial" w:hAnsi="Arial"/>
          <w:b/>
          <w:i/>
          <w:lang w:val="fr-FR"/>
        </w:rPr>
      </w:pPr>
      <w:bookmarkStart w:id="9" w:name="ETSIinfo"/>
      <w:r w:rsidRPr="000B4170">
        <w:rPr>
          <w:rFonts w:ascii="Arial" w:hAnsi="Arial"/>
          <w:b/>
          <w:i/>
          <w:lang w:val="fr-FR"/>
        </w:rPr>
        <w:t>ETSI</w:t>
      </w:r>
    </w:p>
    <w:p w14:paraId="5E5E78F1" w14:textId="77777777" w:rsidR="00BC33F7" w:rsidRPr="00F54712" w:rsidRDefault="00BC33F7" w:rsidP="0065180D">
      <w:pPr>
        <w:pStyle w:val="FP"/>
        <w:framePr w:w="9758" w:wrap="notBeside" w:vAnchor="page" w:hAnchor="page" w:x="1169" w:y="3908"/>
        <w:pBdr>
          <w:bottom w:val="single" w:sz="6" w:space="1" w:color="auto"/>
        </w:pBdr>
        <w:ind w:left="2835" w:right="2835"/>
        <w:jc w:val="center"/>
        <w:rPr>
          <w:rFonts w:ascii="Arial" w:hAnsi="Arial"/>
          <w:sz w:val="18"/>
          <w:lang w:val="fr-FR"/>
        </w:rPr>
      </w:pPr>
      <w:r w:rsidRPr="00F54712">
        <w:rPr>
          <w:rFonts w:ascii="Arial" w:hAnsi="Arial"/>
          <w:sz w:val="18"/>
          <w:lang w:val="fr-FR"/>
        </w:rPr>
        <w:t>650 Route des Lucioles</w:t>
      </w:r>
    </w:p>
    <w:p w14:paraId="69528CEA" w14:textId="77777777" w:rsidR="00BC33F7" w:rsidRPr="000B4170" w:rsidRDefault="00BC33F7" w:rsidP="0065180D">
      <w:pPr>
        <w:pStyle w:val="FP"/>
        <w:framePr w:w="9758" w:wrap="notBeside" w:vAnchor="page" w:hAnchor="page" w:x="1169" w:y="3908"/>
        <w:pBdr>
          <w:bottom w:val="single" w:sz="6" w:space="1" w:color="auto"/>
        </w:pBdr>
        <w:ind w:left="2835" w:right="2835"/>
        <w:jc w:val="center"/>
      </w:pPr>
      <w:r w:rsidRPr="000B4170">
        <w:rPr>
          <w:rFonts w:ascii="Arial" w:hAnsi="Arial"/>
          <w:sz w:val="18"/>
        </w:rPr>
        <w:t>F-06921 Sophia Antipolis Cedex - FRANCE</w:t>
      </w:r>
    </w:p>
    <w:p w14:paraId="1EF4E545" w14:textId="77777777" w:rsidR="00BC33F7" w:rsidRPr="000B4170" w:rsidRDefault="00BC33F7" w:rsidP="0065180D">
      <w:pPr>
        <w:pStyle w:val="FP"/>
        <w:framePr w:w="9758" w:wrap="notBeside" w:vAnchor="page" w:hAnchor="page" w:x="1169" w:y="3908"/>
        <w:ind w:left="2835" w:right="2835"/>
        <w:jc w:val="center"/>
        <w:rPr>
          <w:rFonts w:ascii="Arial" w:hAnsi="Arial"/>
          <w:sz w:val="18"/>
        </w:rPr>
      </w:pPr>
    </w:p>
    <w:p w14:paraId="340C5000" w14:textId="77777777" w:rsidR="00BC33F7" w:rsidRPr="000B4170" w:rsidRDefault="00BC33F7" w:rsidP="0065180D">
      <w:pPr>
        <w:pStyle w:val="FP"/>
        <w:framePr w:w="9758" w:wrap="notBeside" w:vAnchor="page" w:hAnchor="page" w:x="1169" w:y="3908"/>
        <w:spacing w:after="20"/>
        <w:ind w:left="2835" w:right="2835"/>
        <w:jc w:val="center"/>
        <w:rPr>
          <w:rFonts w:ascii="Arial" w:hAnsi="Arial"/>
          <w:sz w:val="18"/>
        </w:rPr>
      </w:pPr>
      <w:r w:rsidRPr="000B4170">
        <w:rPr>
          <w:rFonts w:ascii="Arial" w:hAnsi="Arial"/>
          <w:sz w:val="18"/>
        </w:rPr>
        <w:t>Tel.: +33 4 92 94 42 00   Fax: +33 4 93 65 47 16</w:t>
      </w:r>
    </w:p>
    <w:p w14:paraId="5765D1DC" w14:textId="77777777" w:rsidR="00BC33F7" w:rsidRPr="000B4170" w:rsidRDefault="00BC33F7" w:rsidP="0065180D">
      <w:pPr>
        <w:pStyle w:val="FP"/>
        <w:framePr w:w="9758" w:wrap="notBeside" w:vAnchor="page" w:hAnchor="page" w:x="1169" w:y="3908"/>
        <w:ind w:left="2835" w:right="2835"/>
        <w:jc w:val="center"/>
        <w:rPr>
          <w:rFonts w:ascii="Arial" w:hAnsi="Arial"/>
          <w:sz w:val="15"/>
        </w:rPr>
      </w:pPr>
    </w:p>
    <w:p w14:paraId="7830D829" w14:textId="6673292E" w:rsidR="00BC33F7" w:rsidRPr="00F54712" w:rsidRDefault="00BC33F7" w:rsidP="0065180D">
      <w:pPr>
        <w:pStyle w:val="FP"/>
        <w:framePr w:w="9758" w:wrap="notBeside" w:vAnchor="page" w:hAnchor="page" w:x="1169" w:y="3908"/>
        <w:ind w:left="2835" w:right="2835"/>
        <w:jc w:val="center"/>
        <w:rPr>
          <w:rFonts w:ascii="Arial" w:hAnsi="Arial"/>
          <w:sz w:val="15"/>
          <w:lang w:val="fr-FR"/>
        </w:rPr>
      </w:pPr>
      <w:r w:rsidRPr="00F54712">
        <w:rPr>
          <w:rFonts w:ascii="Arial" w:hAnsi="Arial"/>
          <w:sz w:val="15"/>
          <w:lang w:val="fr-FR"/>
        </w:rPr>
        <w:t xml:space="preserve">Siret N° 348 623 562 00017 - </w:t>
      </w:r>
      <w:bookmarkStart w:id="10" w:name="_Hlk67652697"/>
      <w:r w:rsidR="00C35B43">
        <w:rPr>
          <w:rFonts w:ascii="Arial" w:hAnsi="Arial"/>
          <w:sz w:val="15"/>
          <w:lang w:val="fr-FR"/>
        </w:rPr>
        <w:t>APE 7112B</w:t>
      </w:r>
      <w:bookmarkEnd w:id="10"/>
    </w:p>
    <w:p w14:paraId="04E184AD" w14:textId="77777777" w:rsidR="00BC33F7" w:rsidRPr="00F54712" w:rsidRDefault="00BC33F7" w:rsidP="0065180D">
      <w:pPr>
        <w:pStyle w:val="FP"/>
        <w:framePr w:w="9758" w:wrap="notBeside" w:vAnchor="page" w:hAnchor="page" w:x="1169" w:y="3908"/>
        <w:ind w:left="2835" w:right="2835"/>
        <w:jc w:val="center"/>
        <w:rPr>
          <w:rFonts w:ascii="Arial" w:hAnsi="Arial"/>
          <w:sz w:val="15"/>
          <w:lang w:val="fr-FR"/>
        </w:rPr>
      </w:pPr>
      <w:r w:rsidRPr="00F54712">
        <w:rPr>
          <w:rFonts w:ascii="Arial" w:hAnsi="Arial"/>
          <w:sz w:val="15"/>
          <w:lang w:val="fr-FR"/>
        </w:rPr>
        <w:t>Association à but non lucratif enregistrée à la</w:t>
      </w:r>
    </w:p>
    <w:p w14:paraId="5AAB83FD" w14:textId="4514299D" w:rsidR="00BC33F7" w:rsidRPr="00F54712" w:rsidRDefault="00F54712" w:rsidP="0065180D">
      <w:pPr>
        <w:pStyle w:val="FP"/>
        <w:framePr w:w="9758" w:wrap="notBeside" w:vAnchor="page" w:hAnchor="page" w:x="1169" w:y="3908"/>
        <w:ind w:left="2835" w:right="2835"/>
        <w:jc w:val="center"/>
        <w:rPr>
          <w:rFonts w:ascii="Arial" w:hAnsi="Arial"/>
          <w:sz w:val="15"/>
          <w:lang w:val="fr-FR"/>
        </w:rPr>
      </w:pPr>
      <w:r w:rsidRPr="00F54712">
        <w:rPr>
          <w:rFonts w:ascii="Arial" w:hAnsi="Arial"/>
          <w:sz w:val="15"/>
          <w:lang w:val="fr-FR"/>
        </w:rPr>
        <w:t>Sous-préfecture</w:t>
      </w:r>
      <w:r w:rsidR="00BC33F7" w:rsidRPr="00F54712">
        <w:rPr>
          <w:rFonts w:ascii="Arial" w:hAnsi="Arial"/>
          <w:sz w:val="15"/>
          <w:lang w:val="fr-FR"/>
        </w:rPr>
        <w:t xml:space="preserve"> de Grasse (06) N° </w:t>
      </w:r>
      <w:r w:rsidR="00C35B43" w:rsidRPr="00C35B43">
        <w:rPr>
          <w:rFonts w:ascii="Arial" w:hAnsi="Arial"/>
          <w:sz w:val="15"/>
          <w:lang w:val="fr-FR"/>
        </w:rPr>
        <w:t>w061004871</w:t>
      </w:r>
    </w:p>
    <w:p w14:paraId="00F36205" w14:textId="77777777" w:rsidR="00BC33F7" w:rsidRPr="000B4170" w:rsidRDefault="00BC33F7" w:rsidP="0065180D">
      <w:pPr>
        <w:pStyle w:val="FP"/>
        <w:framePr w:w="9758" w:wrap="notBeside" w:vAnchor="page" w:hAnchor="page" w:x="1169" w:y="3908"/>
        <w:ind w:left="2835" w:right="2835"/>
        <w:jc w:val="center"/>
        <w:rPr>
          <w:rFonts w:ascii="Arial" w:hAnsi="Arial"/>
          <w:sz w:val="18"/>
          <w:lang w:val="fr-FR"/>
        </w:rPr>
      </w:pPr>
    </w:p>
    <w:bookmarkEnd w:id="6"/>
    <w:bookmarkEnd w:id="9"/>
    <w:p w14:paraId="1F4745E8" w14:textId="77777777" w:rsidR="0065180D" w:rsidRPr="00307F3A" w:rsidRDefault="0065180D" w:rsidP="005E6B71">
      <w:pPr>
        <w:framePr w:w="9758" w:h="9625" w:hRule="exact" w:wrap="notBeside" w:vAnchor="page" w:hAnchor="page" w:x="1169" w:y="6210"/>
        <w:pBdr>
          <w:bottom w:val="single" w:sz="6" w:space="1" w:color="auto"/>
        </w:pBdr>
        <w:spacing w:after="120"/>
        <w:ind w:left="2835" w:right="2835"/>
        <w:jc w:val="center"/>
        <w:rPr>
          <w:rFonts w:ascii="Arial" w:hAnsi="Arial"/>
          <w:b/>
          <w:i/>
        </w:rPr>
      </w:pPr>
      <w:r w:rsidRPr="00307F3A">
        <w:rPr>
          <w:rFonts w:ascii="Arial" w:hAnsi="Arial"/>
          <w:b/>
          <w:i/>
        </w:rPr>
        <w:t>Important notice</w:t>
      </w:r>
    </w:p>
    <w:p w14:paraId="0C51A3BC" w14:textId="77777777" w:rsidR="0065180D" w:rsidRPr="00307F3A" w:rsidRDefault="0065180D" w:rsidP="005E6B71">
      <w:pPr>
        <w:framePr w:w="9758" w:h="9625" w:hRule="exact" w:wrap="notBeside" w:vAnchor="page" w:hAnchor="page" w:x="1169" w:y="6210"/>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33031D98" w14:textId="77777777" w:rsidR="0065180D" w:rsidRPr="00307F3A" w:rsidRDefault="0065180D" w:rsidP="005E6B71">
      <w:pPr>
        <w:framePr w:w="9758" w:h="9625" w:hRule="exact" w:wrap="notBeside" w:vAnchor="page" w:hAnchor="page" w:x="1169" w:y="6210"/>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19930FD6" w14:textId="77777777" w:rsidR="0065180D" w:rsidRPr="00307F3A" w:rsidRDefault="0065180D" w:rsidP="005E6B71">
      <w:pPr>
        <w:framePr w:w="9758" w:h="9625" w:hRule="exact" w:wrap="notBeside" w:vAnchor="page" w:hAnchor="page" w:x="1169" w:y="6210"/>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39D34063" w14:textId="2911F802" w:rsidR="0065180D" w:rsidRDefault="0065180D" w:rsidP="005E6B71">
      <w:pPr>
        <w:framePr w:w="9758" w:h="9625" w:hRule="exact" w:wrap="notBeside" w:vAnchor="page" w:hAnchor="page" w:x="1169" w:y="6210"/>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3" w:history="1">
        <w:r w:rsidRPr="00307F3A">
          <w:rPr>
            <w:rFonts w:ascii="Arial" w:hAnsi="Arial" w:cs="Arial"/>
            <w:color w:val="0000FF"/>
            <w:sz w:val="18"/>
            <w:u w:val="single"/>
          </w:rPr>
          <w:t>https://portal.etsi.org/People/CommiteeSupportStaff.aspx</w:t>
        </w:r>
      </w:hyperlink>
    </w:p>
    <w:p w14:paraId="2AD5E460" w14:textId="77777777" w:rsidR="000F1956" w:rsidRDefault="000F1956" w:rsidP="005E6B71">
      <w:pPr>
        <w:framePr w:w="9758" w:h="9625" w:hRule="exact" w:wrap="notBeside" w:vAnchor="page" w:hAnchor="page" w:x="1169" w:y="6210"/>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our </w:t>
      </w:r>
    </w:p>
    <w:p w14:paraId="6AA711D6" w14:textId="77777777" w:rsidR="000F1956" w:rsidRDefault="000F1956" w:rsidP="005E6B71">
      <w:pPr>
        <w:framePr w:w="9758" w:h="9625" w:hRule="exact" w:wrap="notBeside" w:vAnchor="page" w:hAnchor="page" w:x="1169" w:y="6210"/>
        <w:overflowPunct/>
        <w:autoSpaceDE/>
        <w:adjustRightInd/>
        <w:spacing w:after="0"/>
        <w:jc w:val="center"/>
        <w:rPr>
          <w:rFonts w:ascii="Arial" w:hAnsi="Arial" w:cs="Arial"/>
          <w:sz w:val="18"/>
        </w:rPr>
      </w:pPr>
      <w:r>
        <w:rPr>
          <w:rFonts w:ascii="Arial" w:hAnsi="Arial" w:cs="Arial"/>
          <w:sz w:val="18"/>
        </w:rPr>
        <w:t>Coordinated Vulnerability Disclosure Program:</w:t>
      </w:r>
    </w:p>
    <w:p w14:paraId="31642A30" w14:textId="26642C37" w:rsidR="000F1956" w:rsidRPr="00307F3A" w:rsidRDefault="00000000" w:rsidP="005E6B71">
      <w:pPr>
        <w:framePr w:w="9758" w:h="9625" w:hRule="exact" w:wrap="notBeside" w:vAnchor="page" w:hAnchor="page" w:x="1169" w:y="6210"/>
        <w:spacing w:after="240"/>
        <w:jc w:val="center"/>
        <w:rPr>
          <w:rFonts w:ascii="Arial" w:hAnsi="Arial" w:cs="Arial"/>
          <w:color w:val="0000FF"/>
          <w:sz w:val="18"/>
          <w:u w:val="single"/>
        </w:rPr>
      </w:pPr>
      <w:hyperlink r:id="rId14" w:history="1">
        <w:r w:rsidR="000F1956">
          <w:rPr>
            <w:rStyle w:val="Lienhypertexte"/>
            <w:rFonts w:ascii="Arial" w:hAnsi="Arial" w:cs="Arial"/>
            <w:sz w:val="18"/>
          </w:rPr>
          <w:t>https://www.etsi.org/standards/coordinated-vulnerability-disclosure</w:t>
        </w:r>
      </w:hyperlink>
    </w:p>
    <w:p w14:paraId="7859DFEA" w14:textId="77777777" w:rsidR="0065180D" w:rsidRPr="00307F3A" w:rsidRDefault="0065180D" w:rsidP="005E6B71">
      <w:pPr>
        <w:framePr w:w="9758" w:h="9625" w:hRule="exact" w:wrap="notBeside" w:vAnchor="page" w:hAnchor="page" w:x="1169" w:y="6210"/>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2AF01EED"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58DF3AF2"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 xml:space="preserve">other professional standard and applicable regulations. </w:t>
      </w:r>
    </w:p>
    <w:p w14:paraId="06E52F62"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2157716F"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bookmarkStart w:id="11"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32A776F5"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D8B615B"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p>
    <w:p w14:paraId="4722BD6B" w14:textId="77777777" w:rsidR="0065180D" w:rsidRPr="00307F3A" w:rsidRDefault="0065180D" w:rsidP="005E6B71">
      <w:pPr>
        <w:framePr w:w="9758" w:h="9625" w:hRule="exact" w:wrap="notBeside" w:vAnchor="page" w:hAnchor="page" w:x="1169" w:y="6210"/>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AC99827" w14:textId="77777777" w:rsidR="0065180D" w:rsidRPr="00307F3A" w:rsidRDefault="0065180D" w:rsidP="005E6B71">
      <w:pPr>
        <w:framePr w:w="9758" w:h="9625" w:hRule="exact" w:wrap="notBeside" w:vAnchor="page" w:hAnchor="page" w:x="1169" w:y="6210"/>
        <w:pBdr>
          <w:bottom w:val="single" w:sz="6" w:space="1" w:color="auto"/>
        </w:pBdr>
        <w:spacing w:after="120"/>
        <w:jc w:val="center"/>
        <w:rPr>
          <w:rFonts w:ascii="Arial" w:hAnsi="Arial"/>
          <w:b/>
          <w:i/>
        </w:rPr>
      </w:pPr>
      <w:r w:rsidRPr="00307F3A">
        <w:rPr>
          <w:rFonts w:ascii="Arial" w:hAnsi="Arial"/>
          <w:b/>
          <w:i/>
        </w:rPr>
        <w:t>Copyright Notification</w:t>
      </w:r>
    </w:p>
    <w:p w14:paraId="42DEC152"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bookmarkStart w:id="12"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2"/>
    <w:p w14:paraId="76AB469F"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p>
    <w:p w14:paraId="23C127D1"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 xml:space="preserve">© ETSI </w:t>
      </w:r>
      <w:proofErr w:type="spellStart"/>
      <w:r w:rsidRPr="00307F3A">
        <w:rPr>
          <w:rFonts w:ascii="Arial" w:hAnsi="Arial" w:cs="Arial"/>
          <w:sz w:val="18"/>
        </w:rPr>
        <w:t>yyyy</w:t>
      </w:r>
      <w:proofErr w:type="spellEnd"/>
      <w:r w:rsidRPr="00307F3A">
        <w:rPr>
          <w:rFonts w:ascii="Arial" w:hAnsi="Arial" w:cs="Arial"/>
          <w:sz w:val="18"/>
        </w:rPr>
        <w:t>.</w:t>
      </w:r>
      <w:bookmarkStart w:id="13" w:name="copyrightaddon"/>
      <w:bookmarkEnd w:id="13"/>
    </w:p>
    <w:p w14:paraId="141F7B56" w14:textId="6D8FF03E" w:rsidR="00BC33F7" w:rsidRPr="00F54712" w:rsidRDefault="0065180D" w:rsidP="005E6B71">
      <w:pPr>
        <w:pStyle w:val="FP"/>
        <w:framePr w:w="9758" w:h="9625" w:hRule="exact" w:wrap="notBeside" w:vAnchor="page" w:hAnchor="page" w:x="1169" w:y="6210"/>
        <w:jc w:val="center"/>
        <w:rPr>
          <w:rFonts w:ascii="Arial" w:hAnsi="Arial" w:cs="Arial"/>
          <w:sz w:val="18"/>
          <w:szCs w:val="18"/>
        </w:rPr>
      </w:pPr>
      <w:bookmarkStart w:id="14" w:name="tbcopyright"/>
      <w:bookmarkEnd w:id="14"/>
      <w:r w:rsidRPr="00307F3A">
        <w:rPr>
          <w:rFonts w:ascii="Arial" w:hAnsi="Arial" w:cs="Arial"/>
          <w:sz w:val="18"/>
        </w:rPr>
        <w:t>All rights reserved.</w:t>
      </w:r>
      <w:r w:rsidR="00BC33F7" w:rsidRPr="00F54712">
        <w:rPr>
          <w:rFonts w:ascii="Arial" w:hAnsi="Arial" w:cs="Arial"/>
          <w:sz w:val="18"/>
        </w:rPr>
        <w:br/>
      </w:r>
    </w:p>
    <w:p w14:paraId="16CB3ED4" w14:textId="77777777" w:rsidR="00414E11" w:rsidRPr="00E07F2C" w:rsidRDefault="00787554" w:rsidP="00E07F2C">
      <w:pPr>
        <w:pStyle w:val="TT"/>
      </w:pPr>
      <w:r w:rsidRPr="00F54712">
        <w:rPr>
          <w:rStyle w:val="Guidance"/>
          <w:szCs w:val="36"/>
        </w:rPr>
        <w:br w:type="page"/>
      </w:r>
      <w:bookmarkStart w:id="15" w:name="_Toc451532662"/>
      <w:r w:rsidR="00BB6418" w:rsidRPr="00E07F2C">
        <w:lastRenderedPageBreak/>
        <w:t>Contents</w:t>
      </w:r>
      <w:bookmarkEnd w:id="15"/>
    </w:p>
    <w:p w14:paraId="4515B40D" w14:textId="1414EE5D" w:rsidR="000665AE" w:rsidRDefault="00E33D4C">
      <w:pPr>
        <w:pStyle w:val="TM1"/>
        <w:rPr>
          <w:rFonts w:asciiTheme="minorHAnsi" w:eastAsiaTheme="minorEastAsia" w:hAnsiTheme="minorHAnsi" w:cstheme="minorBidi"/>
          <w:szCs w:val="22"/>
          <w:lang w:val="fr-FR" w:eastAsia="fr-FR"/>
        </w:rPr>
      </w:pPr>
      <w:r>
        <w:fldChar w:fldCharType="begin"/>
      </w:r>
      <w:r>
        <w:instrText xml:space="preserve"> TOC \o \w "1-9"</w:instrText>
      </w:r>
      <w:r>
        <w:fldChar w:fldCharType="separate"/>
      </w:r>
      <w:r w:rsidR="000665AE">
        <w:t>Intellectual Property Rights</w:t>
      </w:r>
      <w:r w:rsidR="000665AE">
        <w:tab/>
      </w:r>
      <w:r w:rsidR="000665AE">
        <w:fldChar w:fldCharType="begin"/>
      </w:r>
      <w:r w:rsidR="000665AE">
        <w:instrText xml:space="preserve"> PAGEREF _Toc124754786 \h </w:instrText>
      </w:r>
      <w:r w:rsidR="000665AE">
        <w:fldChar w:fldCharType="separate"/>
      </w:r>
      <w:r w:rsidR="000665AE">
        <w:t>4</w:t>
      </w:r>
      <w:r w:rsidR="000665AE">
        <w:fldChar w:fldCharType="end"/>
      </w:r>
    </w:p>
    <w:p w14:paraId="6CA93042" w14:textId="1B761854" w:rsidR="000665AE" w:rsidRDefault="000665AE">
      <w:pPr>
        <w:pStyle w:val="TM1"/>
        <w:rPr>
          <w:rFonts w:asciiTheme="minorHAnsi" w:eastAsiaTheme="minorEastAsia" w:hAnsiTheme="minorHAnsi" w:cstheme="minorBidi"/>
          <w:szCs w:val="22"/>
          <w:lang w:val="fr-FR" w:eastAsia="fr-FR"/>
        </w:rPr>
      </w:pPr>
      <w:r>
        <w:t>Foreword</w:t>
      </w:r>
      <w:r>
        <w:tab/>
      </w:r>
      <w:r>
        <w:fldChar w:fldCharType="begin"/>
      </w:r>
      <w:r>
        <w:instrText xml:space="preserve"> PAGEREF _Toc124754787 \h </w:instrText>
      </w:r>
      <w:r>
        <w:fldChar w:fldCharType="separate"/>
      </w:r>
      <w:r>
        <w:t>4</w:t>
      </w:r>
      <w:r>
        <w:fldChar w:fldCharType="end"/>
      </w:r>
    </w:p>
    <w:p w14:paraId="31AD5681" w14:textId="00EDBCE7" w:rsidR="000665AE" w:rsidRDefault="000665AE">
      <w:pPr>
        <w:pStyle w:val="TM1"/>
        <w:rPr>
          <w:rFonts w:asciiTheme="minorHAnsi" w:eastAsiaTheme="minorEastAsia" w:hAnsiTheme="minorHAnsi" w:cstheme="minorBidi"/>
          <w:szCs w:val="22"/>
          <w:lang w:val="fr-FR" w:eastAsia="fr-FR"/>
        </w:rPr>
      </w:pPr>
      <w:r>
        <w:t>Modal verbs terminology</w:t>
      </w:r>
      <w:r>
        <w:tab/>
      </w:r>
      <w:r>
        <w:fldChar w:fldCharType="begin"/>
      </w:r>
      <w:r>
        <w:instrText xml:space="preserve"> PAGEREF _Toc124754788 \h </w:instrText>
      </w:r>
      <w:r>
        <w:fldChar w:fldCharType="separate"/>
      </w:r>
      <w:r>
        <w:t>4</w:t>
      </w:r>
      <w:r>
        <w:fldChar w:fldCharType="end"/>
      </w:r>
    </w:p>
    <w:p w14:paraId="61DC5686" w14:textId="21922090" w:rsidR="000665AE" w:rsidRDefault="000665AE">
      <w:pPr>
        <w:pStyle w:val="TM1"/>
        <w:rPr>
          <w:rFonts w:asciiTheme="minorHAnsi" w:eastAsiaTheme="minorEastAsia" w:hAnsiTheme="minorHAnsi" w:cstheme="minorBidi"/>
          <w:szCs w:val="22"/>
          <w:lang w:val="fr-FR" w:eastAsia="fr-FR"/>
        </w:rPr>
      </w:pPr>
      <w:r>
        <w:t>Executive summary</w:t>
      </w:r>
      <w:r>
        <w:tab/>
      </w:r>
      <w:r>
        <w:fldChar w:fldCharType="begin"/>
      </w:r>
      <w:r>
        <w:instrText xml:space="preserve"> PAGEREF _Toc124754789 \h </w:instrText>
      </w:r>
      <w:r>
        <w:fldChar w:fldCharType="separate"/>
      </w:r>
      <w:r>
        <w:t>4</w:t>
      </w:r>
      <w:r>
        <w:fldChar w:fldCharType="end"/>
      </w:r>
    </w:p>
    <w:p w14:paraId="5CF02D57" w14:textId="6DA27C30" w:rsidR="000665AE" w:rsidRDefault="000665AE">
      <w:pPr>
        <w:pStyle w:val="TM1"/>
        <w:rPr>
          <w:rFonts w:asciiTheme="minorHAnsi" w:eastAsiaTheme="minorEastAsia" w:hAnsiTheme="minorHAnsi" w:cstheme="minorBidi"/>
          <w:szCs w:val="22"/>
          <w:lang w:val="fr-FR" w:eastAsia="fr-FR"/>
        </w:rPr>
      </w:pPr>
      <w:r>
        <w:t>Introduction</w:t>
      </w:r>
      <w:r>
        <w:tab/>
      </w:r>
      <w:r>
        <w:fldChar w:fldCharType="begin"/>
      </w:r>
      <w:r>
        <w:instrText xml:space="preserve"> PAGEREF _Toc124754790 \h </w:instrText>
      </w:r>
      <w:r>
        <w:fldChar w:fldCharType="separate"/>
      </w:r>
      <w:r>
        <w:t>4</w:t>
      </w:r>
      <w:r>
        <w:fldChar w:fldCharType="end"/>
      </w:r>
    </w:p>
    <w:p w14:paraId="05085A92" w14:textId="6ADF121A" w:rsidR="000665AE" w:rsidRDefault="000665AE">
      <w:pPr>
        <w:pStyle w:val="TM1"/>
        <w:rPr>
          <w:rFonts w:asciiTheme="minorHAnsi" w:eastAsiaTheme="minorEastAsia" w:hAnsiTheme="minorHAnsi" w:cstheme="minorBidi"/>
          <w:szCs w:val="22"/>
          <w:lang w:val="fr-FR" w:eastAsia="fr-FR"/>
        </w:rPr>
      </w:pPr>
      <w:r>
        <w:t>1</w:t>
      </w:r>
      <w:r>
        <w:tab/>
        <w:t>Scope</w:t>
      </w:r>
      <w:r>
        <w:tab/>
      </w:r>
      <w:r>
        <w:fldChar w:fldCharType="begin"/>
      </w:r>
      <w:r>
        <w:instrText xml:space="preserve"> PAGEREF _Toc124754791 \h </w:instrText>
      </w:r>
      <w:r>
        <w:fldChar w:fldCharType="separate"/>
      </w:r>
      <w:r>
        <w:t>5</w:t>
      </w:r>
      <w:r>
        <w:fldChar w:fldCharType="end"/>
      </w:r>
    </w:p>
    <w:p w14:paraId="2C873F19" w14:textId="2299AD81" w:rsidR="000665AE" w:rsidRDefault="000665AE">
      <w:pPr>
        <w:pStyle w:val="TM1"/>
        <w:rPr>
          <w:rFonts w:asciiTheme="minorHAnsi" w:eastAsiaTheme="minorEastAsia" w:hAnsiTheme="minorHAnsi" w:cstheme="minorBidi"/>
          <w:szCs w:val="22"/>
          <w:lang w:val="fr-FR" w:eastAsia="fr-FR"/>
        </w:rPr>
      </w:pPr>
      <w:r>
        <w:t>2</w:t>
      </w:r>
      <w:r>
        <w:tab/>
        <w:t>References</w:t>
      </w:r>
      <w:r>
        <w:tab/>
      </w:r>
      <w:r>
        <w:fldChar w:fldCharType="begin"/>
      </w:r>
      <w:r>
        <w:instrText xml:space="preserve"> PAGEREF _Toc124754792 \h </w:instrText>
      </w:r>
      <w:r>
        <w:fldChar w:fldCharType="separate"/>
      </w:r>
      <w:r>
        <w:t>5</w:t>
      </w:r>
      <w:r>
        <w:fldChar w:fldCharType="end"/>
      </w:r>
    </w:p>
    <w:p w14:paraId="5B8C746D" w14:textId="2882C346" w:rsidR="000665AE" w:rsidRDefault="000665AE">
      <w:pPr>
        <w:pStyle w:val="TM2"/>
        <w:rPr>
          <w:rFonts w:asciiTheme="minorHAnsi" w:eastAsiaTheme="minorEastAsia" w:hAnsiTheme="minorHAnsi" w:cstheme="minorBidi"/>
          <w:sz w:val="22"/>
          <w:szCs w:val="22"/>
          <w:lang w:val="fr-FR" w:eastAsia="fr-FR"/>
        </w:rPr>
      </w:pPr>
      <w:r>
        <w:t>2.1</w:t>
      </w:r>
      <w:r>
        <w:tab/>
        <w:t>Normative references</w:t>
      </w:r>
      <w:r>
        <w:tab/>
      </w:r>
      <w:r>
        <w:fldChar w:fldCharType="begin"/>
      </w:r>
      <w:r>
        <w:instrText xml:space="preserve"> PAGEREF _Toc124754793 \h </w:instrText>
      </w:r>
      <w:r>
        <w:fldChar w:fldCharType="separate"/>
      </w:r>
      <w:r>
        <w:t>5</w:t>
      </w:r>
      <w:r>
        <w:fldChar w:fldCharType="end"/>
      </w:r>
    </w:p>
    <w:p w14:paraId="365B6B57" w14:textId="6C302258" w:rsidR="000665AE" w:rsidRDefault="000665AE">
      <w:pPr>
        <w:pStyle w:val="TM2"/>
        <w:rPr>
          <w:rFonts w:asciiTheme="minorHAnsi" w:eastAsiaTheme="minorEastAsia" w:hAnsiTheme="minorHAnsi" w:cstheme="minorBidi"/>
          <w:sz w:val="22"/>
          <w:szCs w:val="22"/>
          <w:lang w:val="fr-FR" w:eastAsia="fr-FR"/>
        </w:rPr>
      </w:pPr>
      <w:r>
        <w:t>2.2</w:t>
      </w:r>
      <w:r>
        <w:tab/>
        <w:t>Informative references</w:t>
      </w:r>
      <w:r>
        <w:tab/>
      </w:r>
      <w:r>
        <w:fldChar w:fldCharType="begin"/>
      </w:r>
      <w:r>
        <w:instrText xml:space="preserve"> PAGEREF _Toc124754794 \h </w:instrText>
      </w:r>
      <w:r>
        <w:fldChar w:fldCharType="separate"/>
      </w:r>
      <w:r>
        <w:t>5</w:t>
      </w:r>
      <w:r>
        <w:fldChar w:fldCharType="end"/>
      </w:r>
    </w:p>
    <w:p w14:paraId="6C31B81A" w14:textId="7DC8D9B7" w:rsidR="000665AE" w:rsidRDefault="000665AE">
      <w:pPr>
        <w:pStyle w:val="TM1"/>
        <w:rPr>
          <w:rFonts w:asciiTheme="minorHAnsi" w:eastAsiaTheme="minorEastAsia" w:hAnsiTheme="minorHAnsi" w:cstheme="minorBidi"/>
          <w:szCs w:val="22"/>
          <w:lang w:val="fr-FR" w:eastAsia="fr-FR"/>
        </w:rPr>
      </w:pPr>
      <w:r>
        <w:t>3</w:t>
      </w:r>
      <w:r>
        <w:tab/>
        <w:t>Definition of terms, symbols and abbreviations</w:t>
      </w:r>
      <w:r>
        <w:tab/>
      </w:r>
      <w:r>
        <w:fldChar w:fldCharType="begin"/>
      </w:r>
      <w:r>
        <w:instrText xml:space="preserve"> PAGEREF _Toc124754795 \h </w:instrText>
      </w:r>
      <w:r>
        <w:fldChar w:fldCharType="separate"/>
      </w:r>
      <w:r>
        <w:t>5</w:t>
      </w:r>
      <w:r>
        <w:fldChar w:fldCharType="end"/>
      </w:r>
    </w:p>
    <w:p w14:paraId="4A70B2EF" w14:textId="6EFDF34D" w:rsidR="000665AE" w:rsidRDefault="000665AE">
      <w:pPr>
        <w:pStyle w:val="TM2"/>
        <w:rPr>
          <w:rFonts w:asciiTheme="minorHAnsi" w:eastAsiaTheme="minorEastAsia" w:hAnsiTheme="minorHAnsi" w:cstheme="minorBidi"/>
          <w:sz w:val="22"/>
          <w:szCs w:val="22"/>
          <w:lang w:val="fr-FR" w:eastAsia="fr-FR"/>
        </w:rPr>
      </w:pPr>
      <w:r>
        <w:t>3.1</w:t>
      </w:r>
      <w:r>
        <w:tab/>
        <w:t>Terms</w:t>
      </w:r>
      <w:r>
        <w:tab/>
      </w:r>
      <w:r>
        <w:fldChar w:fldCharType="begin"/>
      </w:r>
      <w:r>
        <w:instrText xml:space="preserve"> PAGEREF _Toc124754796 \h </w:instrText>
      </w:r>
      <w:r>
        <w:fldChar w:fldCharType="separate"/>
      </w:r>
      <w:r>
        <w:t>5</w:t>
      </w:r>
      <w:r>
        <w:fldChar w:fldCharType="end"/>
      </w:r>
    </w:p>
    <w:p w14:paraId="608D4D78" w14:textId="167ECAD4" w:rsidR="000665AE" w:rsidRDefault="000665AE">
      <w:pPr>
        <w:pStyle w:val="TM2"/>
        <w:rPr>
          <w:rFonts w:asciiTheme="minorHAnsi" w:eastAsiaTheme="minorEastAsia" w:hAnsiTheme="minorHAnsi" w:cstheme="minorBidi"/>
          <w:sz w:val="22"/>
          <w:szCs w:val="22"/>
          <w:lang w:val="fr-FR" w:eastAsia="fr-FR"/>
        </w:rPr>
      </w:pPr>
      <w:r>
        <w:t>3.2</w:t>
      </w:r>
      <w:r>
        <w:tab/>
        <w:t>Symbols</w:t>
      </w:r>
      <w:r>
        <w:tab/>
      </w:r>
      <w:r>
        <w:fldChar w:fldCharType="begin"/>
      </w:r>
      <w:r>
        <w:instrText xml:space="preserve"> PAGEREF _Toc124754797 \h </w:instrText>
      </w:r>
      <w:r>
        <w:fldChar w:fldCharType="separate"/>
      </w:r>
      <w:r>
        <w:t>5</w:t>
      </w:r>
      <w:r>
        <w:fldChar w:fldCharType="end"/>
      </w:r>
    </w:p>
    <w:p w14:paraId="27E1DBD9" w14:textId="220B9685" w:rsidR="000665AE" w:rsidRDefault="000665AE">
      <w:pPr>
        <w:pStyle w:val="TM2"/>
        <w:rPr>
          <w:rFonts w:asciiTheme="minorHAnsi" w:eastAsiaTheme="minorEastAsia" w:hAnsiTheme="minorHAnsi" w:cstheme="minorBidi"/>
          <w:sz w:val="22"/>
          <w:szCs w:val="22"/>
          <w:lang w:val="fr-FR" w:eastAsia="fr-FR"/>
        </w:rPr>
      </w:pPr>
      <w:r>
        <w:t>3.3</w:t>
      </w:r>
      <w:r>
        <w:tab/>
        <w:t>Abbreviations</w:t>
      </w:r>
      <w:r>
        <w:tab/>
      </w:r>
      <w:r>
        <w:fldChar w:fldCharType="begin"/>
      </w:r>
      <w:r>
        <w:instrText xml:space="preserve"> PAGEREF _Toc124754798 \h </w:instrText>
      </w:r>
      <w:r>
        <w:fldChar w:fldCharType="separate"/>
      </w:r>
      <w:r>
        <w:t>5</w:t>
      </w:r>
      <w:r>
        <w:fldChar w:fldCharType="end"/>
      </w:r>
    </w:p>
    <w:p w14:paraId="1EBBD2D9" w14:textId="030426D3" w:rsidR="000665AE" w:rsidRDefault="000665AE">
      <w:pPr>
        <w:pStyle w:val="TM1"/>
        <w:rPr>
          <w:rFonts w:asciiTheme="minorHAnsi" w:eastAsiaTheme="minorEastAsia" w:hAnsiTheme="minorHAnsi" w:cstheme="minorBidi"/>
          <w:szCs w:val="22"/>
          <w:lang w:val="fr-FR" w:eastAsia="fr-FR"/>
        </w:rPr>
      </w:pPr>
      <w:r>
        <w:t>4</w:t>
      </w:r>
      <w:r>
        <w:tab/>
        <w:t>Impact of lockdown and challenges</w:t>
      </w:r>
      <w:r>
        <w:tab/>
      </w:r>
      <w:r>
        <w:fldChar w:fldCharType="begin"/>
      </w:r>
      <w:r>
        <w:instrText xml:space="preserve"> PAGEREF _Toc124754799 \h </w:instrText>
      </w:r>
      <w:r>
        <w:fldChar w:fldCharType="separate"/>
      </w:r>
      <w:r>
        <w:t>6</w:t>
      </w:r>
      <w:r>
        <w:fldChar w:fldCharType="end"/>
      </w:r>
    </w:p>
    <w:p w14:paraId="26949F75" w14:textId="4EC39C7B" w:rsidR="000665AE" w:rsidRDefault="000665AE">
      <w:pPr>
        <w:pStyle w:val="TM2"/>
        <w:rPr>
          <w:rFonts w:asciiTheme="minorHAnsi" w:eastAsiaTheme="minorEastAsia" w:hAnsiTheme="minorHAnsi" w:cstheme="minorBidi"/>
          <w:sz w:val="22"/>
          <w:szCs w:val="22"/>
          <w:lang w:val="fr-FR" w:eastAsia="fr-FR"/>
        </w:rPr>
      </w:pPr>
      <w:r>
        <w:t>4.0</w:t>
      </w:r>
      <w:r>
        <w:tab/>
        <w:t>Introduction</w:t>
      </w:r>
      <w:r>
        <w:tab/>
      </w:r>
      <w:r>
        <w:fldChar w:fldCharType="begin"/>
      </w:r>
      <w:r>
        <w:instrText xml:space="preserve"> PAGEREF _Toc124754800 \h </w:instrText>
      </w:r>
      <w:r>
        <w:fldChar w:fldCharType="separate"/>
      </w:r>
      <w:r>
        <w:t>6</w:t>
      </w:r>
      <w:r>
        <w:fldChar w:fldCharType="end"/>
      </w:r>
    </w:p>
    <w:p w14:paraId="2EB61011" w14:textId="536B6EB8" w:rsidR="000665AE" w:rsidRDefault="000665AE">
      <w:pPr>
        <w:pStyle w:val="TM2"/>
        <w:rPr>
          <w:rFonts w:asciiTheme="minorHAnsi" w:eastAsiaTheme="minorEastAsia" w:hAnsiTheme="minorHAnsi" w:cstheme="minorBidi"/>
          <w:sz w:val="22"/>
          <w:szCs w:val="22"/>
          <w:lang w:val="fr-FR" w:eastAsia="fr-FR"/>
        </w:rPr>
      </w:pPr>
      <w:r>
        <w:t>4.1</w:t>
      </w:r>
      <w:r>
        <w:tab/>
      </w:r>
      <w:r w:rsidRPr="004058F4">
        <w:rPr>
          <w:lang w:val="en-US"/>
        </w:rPr>
        <w:t>Work and digital work</w:t>
      </w:r>
      <w:r>
        <w:tab/>
      </w:r>
      <w:r>
        <w:fldChar w:fldCharType="begin"/>
      </w:r>
      <w:r>
        <w:instrText xml:space="preserve"> PAGEREF _Toc124754801 \h </w:instrText>
      </w:r>
      <w:r>
        <w:fldChar w:fldCharType="separate"/>
      </w:r>
      <w:r>
        <w:t>6</w:t>
      </w:r>
      <w:r>
        <w:fldChar w:fldCharType="end"/>
      </w:r>
    </w:p>
    <w:p w14:paraId="1993175F" w14:textId="0C2F5F5B" w:rsidR="000665AE" w:rsidRDefault="000665AE">
      <w:pPr>
        <w:pStyle w:val="TM3"/>
        <w:rPr>
          <w:rFonts w:asciiTheme="minorHAnsi" w:eastAsiaTheme="minorEastAsia" w:hAnsiTheme="minorHAnsi" w:cstheme="minorBidi"/>
          <w:sz w:val="22"/>
          <w:szCs w:val="22"/>
          <w:lang w:val="fr-FR" w:eastAsia="fr-FR"/>
        </w:rPr>
      </w:pPr>
      <w:r>
        <w:t>4.1.1 Digital transformation / “Tech republic”</w:t>
      </w:r>
      <w:r>
        <w:tab/>
      </w:r>
      <w:r>
        <w:fldChar w:fldCharType="begin"/>
      </w:r>
      <w:r>
        <w:instrText xml:space="preserve"> PAGEREF _Toc124754802 \h </w:instrText>
      </w:r>
      <w:r>
        <w:fldChar w:fldCharType="separate"/>
      </w:r>
      <w:r>
        <w:t>6</w:t>
      </w:r>
      <w:r>
        <w:fldChar w:fldCharType="end"/>
      </w:r>
    </w:p>
    <w:p w14:paraId="3AF45E05" w14:textId="34D1DDCC" w:rsidR="000665AE" w:rsidRDefault="000665AE">
      <w:pPr>
        <w:pStyle w:val="TM3"/>
        <w:rPr>
          <w:rFonts w:asciiTheme="minorHAnsi" w:eastAsiaTheme="minorEastAsia" w:hAnsiTheme="minorHAnsi" w:cstheme="minorBidi"/>
          <w:sz w:val="22"/>
          <w:szCs w:val="22"/>
          <w:lang w:val="fr-FR" w:eastAsia="fr-FR"/>
        </w:rPr>
      </w:pPr>
      <w:r w:rsidRPr="004058F4">
        <w:rPr>
          <w:lang w:val="en-US"/>
        </w:rPr>
        <w:t>4.1.2 impact of covid 19 on the industry</w:t>
      </w:r>
      <w:r>
        <w:tab/>
      </w:r>
      <w:r>
        <w:fldChar w:fldCharType="begin"/>
      </w:r>
      <w:r>
        <w:instrText xml:space="preserve"> PAGEREF _Toc124754803 \h </w:instrText>
      </w:r>
      <w:r>
        <w:fldChar w:fldCharType="separate"/>
      </w:r>
      <w:r>
        <w:t>7</w:t>
      </w:r>
      <w:r>
        <w:fldChar w:fldCharType="end"/>
      </w:r>
    </w:p>
    <w:p w14:paraId="4BC7BCBC" w14:textId="07E16E67" w:rsidR="000665AE" w:rsidRDefault="000665AE">
      <w:pPr>
        <w:pStyle w:val="TM2"/>
        <w:rPr>
          <w:rFonts w:asciiTheme="minorHAnsi" w:eastAsiaTheme="minorEastAsia" w:hAnsiTheme="minorHAnsi" w:cstheme="minorBidi"/>
          <w:sz w:val="22"/>
          <w:szCs w:val="22"/>
          <w:lang w:val="fr-FR" w:eastAsia="fr-FR"/>
        </w:rPr>
      </w:pPr>
      <w:r w:rsidRPr="004058F4">
        <w:rPr>
          <w:lang w:val="en-US"/>
        </w:rPr>
        <w:t>4.2. commerce and e-commerce</w:t>
      </w:r>
      <w:r>
        <w:tab/>
      </w:r>
      <w:r>
        <w:fldChar w:fldCharType="begin"/>
      </w:r>
      <w:r>
        <w:instrText xml:space="preserve"> PAGEREF _Toc124754804 \h </w:instrText>
      </w:r>
      <w:r>
        <w:fldChar w:fldCharType="separate"/>
      </w:r>
      <w:r>
        <w:t>7</w:t>
      </w:r>
      <w:r>
        <w:fldChar w:fldCharType="end"/>
      </w:r>
    </w:p>
    <w:p w14:paraId="48A046BF" w14:textId="3A28AAE5" w:rsidR="000665AE" w:rsidRDefault="000665AE">
      <w:pPr>
        <w:pStyle w:val="TM3"/>
        <w:rPr>
          <w:rFonts w:asciiTheme="minorHAnsi" w:eastAsiaTheme="minorEastAsia" w:hAnsiTheme="minorHAnsi" w:cstheme="minorBidi"/>
          <w:sz w:val="22"/>
          <w:szCs w:val="22"/>
          <w:lang w:val="fr-FR" w:eastAsia="fr-FR"/>
        </w:rPr>
      </w:pPr>
      <w:r w:rsidRPr="004058F4">
        <w:rPr>
          <w:lang w:val="en-US"/>
        </w:rPr>
        <w:t>4.2.1 impact of coronavirus 19 on e-commerce europe / survey - january 2021</w:t>
      </w:r>
      <w:r>
        <w:tab/>
      </w:r>
      <w:r>
        <w:fldChar w:fldCharType="begin"/>
      </w:r>
      <w:r>
        <w:instrText xml:space="preserve"> PAGEREF _Toc124754805 \h </w:instrText>
      </w:r>
      <w:r>
        <w:fldChar w:fldCharType="separate"/>
      </w:r>
      <w:r>
        <w:t>7</w:t>
      </w:r>
      <w:r>
        <w:fldChar w:fldCharType="end"/>
      </w:r>
    </w:p>
    <w:p w14:paraId="47C6EE0B" w14:textId="7CB9A8A1" w:rsidR="000665AE" w:rsidRDefault="000665AE">
      <w:pPr>
        <w:pStyle w:val="TM3"/>
        <w:rPr>
          <w:rFonts w:asciiTheme="minorHAnsi" w:eastAsiaTheme="minorEastAsia" w:hAnsiTheme="minorHAnsi" w:cstheme="minorBidi"/>
          <w:sz w:val="22"/>
          <w:szCs w:val="22"/>
          <w:lang w:val="fr-FR" w:eastAsia="fr-FR"/>
        </w:rPr>
      </w:pPr>
      <w:r w:rsidRPr="004058F4">
        <w:rPr>
          <w:lang w:val="en-US"/>
        </w:rPr>
        <w:t>4.2.2 E-commerce and COVID-19</w:t>
      </w:r>
      <w:r>
        <w:tab/>
      </w:r>
      <w:r>
        <w:fldChar w:fldCharType="begin"/>
      </w:r>
      <w:r>
        <w:instrText xml:space="preserve"> PAGEREF _Toc124754806 \h </w:instrText>
      </w:r>
      <w:r>
        <w:fldChar w:fldCharType="separate"/>
      </w:r>
      <w:r>
        <w:t>8</w:t>
      </w:r>
      <w:r>
        <w:fldChar w:fldCharType="end"/>
      </w:r>
    </w:p>
    <w:p w14:paraId="35A701F9" w14:textId="31A9FA2B" w:rsidR="000665AE" w:rsidRDefault="000665AE">
      <w:pPr>
        <w:pStyle w:val="TM2"/>
        <w:rPr>
          <w:rFonts w:asciiTheme="minorHAnsi" w:eastAsiaTheme="minorEastAsia" w:hAnsiTheme="minorHAnsi" w:cstheme="minorBidi"/>
          <w:sz w:val="22"/>
          <w:szCs w:val="22"/>
          <w:lang w:val="fr-FR" w:eastAsia="fr-FR"/>
        </w:rPr>
      </w:pPr>
      <w:r w:rsidRPr="004058F4">
        <w:rPr>
          <w:lang w:val="en-US"/>
        </w:rPr>
        <w:t>4.3.  education and e-learning</w:t>
      </w:r>
      <w:r>
        <w:tab/>
      </w:r>
      <w:r>
        <w:fldChar w:fldCharType="begin"/>
      </w:r>
      <w:r>
        <w:instrText xml:space="preserve"> PAGEREF _Toc124754807 \h </w:instrText>
      </w:r>
      <w:r>
        <w:fldChar w:fldCharType="separate"/>
      </w:r>
      <w:r>
        <w:t>10</w:t>
      </w:r>
      <w:r>
        <w:fldChar w:fldCharType="end"/>
      </w:r>
    </w:p>
    <w:p w14:paraId="63038F76" w14:textId="0E300A33" w:rsidR="000665AE" w:rsidRDefault="000665AE">
      <w:pPr>
        <w:pStyle w:val="TM3"/>
        <w:rPr>
          <w:rFonts w:asciiTheme="minorHAnsi" w:eastAsiaTheme="minorEastAsia" w:hAnsiTheme="minorHAnsi" w:cstheme="minorBidi"/>
          <w:sz w:val="22"/>
          <w:szCs w:val="22"/>
          <w:lang w:val="fr-FR" w:eastAsia="fr-FR"/>
        </w:rPr>
      </w:pPr>
      <w:r w:rsidRPr="004058F4">
        <w:rPr>
          <w:lang w:val="en-US"/>
        </w:rPr>
        <w:t>4.3.1. Manifestations of the reference period within countries</w:t>
      </w:r>
      <w:r>
        <w:tab/>
      </w:r>
      <w:r>
        <w:fldChar w:fldCharType="begin"/>
      </w:r>
      <w:r>
        <w:instrText xml:space="preserve"> PAGEREF _Toc124754808 \h </w:instrText>
      </w:r>
      <w:r>
        <w:fldChar w:fldCharType="separate"/>
      </w:r>
      <w:r>
        <w:t>10</w:t>
      </w:r>
      <w:r>
        <w:fldChar w:fldCharType="end"/>
      </w:r>
    </w:p>
    <w:p w14:paraId="1AA39230" w14:textId="09C3ABF8" w:rsidR="000665AE" w:rsidRDefault="000665AE">
      <w:pPr>
        <w:pStyle w:val="TM3"/>
        <w:rPr>
          <w:rFonts w:asciiTheme="minorHAnsi" w:eastAsiaTheme="minorEastAsia" w:hAnsiTheme="minorHAnsi" w:cstheme="minorBidi"/>
          <w:sz w:val="22"/>
          <w:szCs w:val="22"/>
          <w:lang w:val="fr-FR" w:eastAsia="fr-FR"/>
        </w:rPr>
      </w:pPr>
      <w:r w:rsidRPr="004058F4">
        <w:rPr>
          <w:lang w:val="en-US"/>
        </w:rPr>
        <w:t>4.3.2. School/teacher/student background</w:t>
      </w:r>
      <w:r>
        <w:tab/>
      </w:r>
      <w:r>
        <w:fldChar w:fldCharType="begin"/>
      </w:r>
      <w:r>
        <w:instrText xml:space="preserve"> PAGEREF _Toc124754809 \h </w:instrText>
      </w:r>
      <w:r>
        <w:fldChar w:fldCharType="separate"/>
      </w:r>
      <w:r>
        <w:t>10</w:t>
      </w:r>
      <w:r>
        <w:fldChar w:fldCharType="end"/>
      </w:r>
    </w:p>
    <w:p w14:paraId="102BF9A2" w14:textId="76648D07" w:rsidR="000665AE" w:rsidRDefault="000665AE">
      <w:pPr>
        <w:pStyle w:val="TM3"/>
        <w:rPr>
          <w:rFonts w:asciiTheme="minorHAnsi" w:eastAsiaTheme="minorEastAsia" w:hAnsiTheme="minorHAnsi" w:cstheme="minorBidi"/>
          <w:sz w:val="22"/>
          <w:szCs w:val="22"/>
          <w:lang w:val="fr-FR" w:eastAsia="fr-FR"/>
        </w:rPr>
      </w:pPr>
      <w:r w:rsidRPr="004058F4">
        <w:rPr>
          <w:lang w:val="en-US"/>
        </w:rPr>
        <w:t>4.3.3. Impact on classroom teaching and learning</w:t>
      </w:r>
      <w:r>
        <w:tab/>
      </w:r>
      <w:r>
        <w:fldChar w:fldCharType="begin"/>
      </w:r>
      <w:r>
        <w:instrText xml:space="preserve"> PAGEREF _Toc124754810 \h </w:instrText>
      </w:r>
      <w:r>
        <w:fldChar w:fldCharType="separate"/>
      </w:r>
      <w:r>
        <w:t>10</w:t>
      </w:r>
      <w:r>
        <w:fldChar w:fldCharType="end"/>
      </w:r>
    </w:p>
    <w:p w14:paraId="02146631" w14:textId="660A0B3A" w:rsidR="000665AE" w:rsidRDefault="000665AE">
      <w:pPr>
        <w:pStyle w:val="TM3"/>
        <w:rPr>
          <w:rFonts w:asciiTheme="minorHAnsi" w:eastAsiaTheme="minorEastAsia" w:hAnsiTheme="minorHAnsi" w:cstheme="minorBidi"/>
          <w:sz w:val="22"/>
          <w:szCs w:val="22"/>
          <w:lang w:val="fr-FR" w:eastAsia="fr-FR"/>
        </w:rPr>
      </w:pPr>
      <w:r w:rsidRPr="004058F4">
        <w:rPr>
          <w:lang w:val="en-US"/>
        </w:rPr>
        <w:t>4.3.4. Assessment of student learning and provision of feedback to students</w:t>
      </w:r>
      <w:r>
        <w:tab/>
      </w:r>
      <w:r>
        <w:fldChar w:fldCharType="begin"/>
      </w:r>
      <w:r>
        <w:instrText xml:space="preserve"> PAGEREF _Toc124754811 \h </w:instrText>
      </w:r>
      <w:r>
        <w:fldChar w:fldCharType="separate"/>
      </w:r>
      <w:r>
        <w:t>10</w:t>
      </w:r>
      <w:r>
        <w:fldChar w:fldCharType="end"/>
      </w:r>
    </w:p>
    <w:p w14:paraId="63A10AF7" w14:textId="78235772" w:rsidR="000665AE" w:rsidRDefault="000665AE">
      <w:pPr>
        <w:pStyle w:val="TM3"/>
        <w:rPr>
          <w:rFonts w:asciiTheme="minorHAnsi" w:eastAsiaTheme="minorEastAsia" w:hAnsiTheme="minorHAnsi" w:cstheme="minorBidi"/>
          <w:sz w:val="22"/>
          <w:szCs w:val="22"/>
          <w:lang w:val="fr-FR" w:eastAsia="fr-FR"/>
        </w:rPr>
      </w:pPr>
      <w:r w:rsidRPr="004058F4">
        <w:rPr>
          <w:lang w:val="en-US"/>
        </w:rPr>
        <w:t>4.3.5. Teacher professional support</w:t>
      </w:r>
      <w:r>
        <w:tab/>
      </w:r>
      <w:r>
        <w:fldChar w:fldCharType="begin"/>
      </w:r>
      <w:r>
        <w:instrText xml:space="preserve"> PAGEREF _Toc124754812 \h </w:instrText>
      </w:r>
      <w:r>
        <w:fldChar w:fldCharType="separate"/>
      </w:r>
      <w:r>
        <w:t>10</w:t>
      </w:r>
      <w:r>
        <w:fldChar w:fldCharType="end"/>
      </w:r>
    </w:p>
    <w:p w14:paraId="342E832B" w14:textId="2FB5A612" w:rsidR="000665AE" w:rsidRDefault="000665AE">
      <w:pPr>
        <w:pStyle w:val="TM3"/>
        <w:rPr>
          <w:rFonts w:asciiTheme="minorHAnsi" w:eastAsiaTheme="minorEastAsia" w:hAnsiTheme="minorHAnsi" w:cstheme="minorBidi"/>
          <w:sz w:val="22"/>
          <w:szCs w:val="22"/>
          <w:lang w:val="fr-FR" w:eastAsia="fr-FR"/>
        </w:rPr>
      </w:pPr>
      <w:r w:rsidRPr="004058F4">
        <w:rPr>
          <w:lang w:val="en-US"/>
        </w:rPr>
        <w:t>4.3.6. Home engagement/support</w:t>
      </w:r>
      <w:r>
        <w:tab/>
      </w:r>
      <w:r>
        <w:fldChar w:fldCharType="begin"/>
      </w:r>
      <w:r>
        <w:instrText xml:space="preserve"> PAGEREF _Toc124754813 \h </w:instrText>
      </w:r>
      <w:r>
        <w:fldChar w:fldCharType="separate"/>
      </w:r>
      <w:r>
        <w:t>11</w:t>
      </w:r>
      <w:r>
        <w:fldChar w:fldCharType="end"/>
      </w:r>
    </w:p>
    <w:p w14:paraId="776AE681" w14:textId="287F3633" w:rsidR="000665AE" w:rsidRDefault="000665AE">
      <w:pPr>
        <w:pStyle w:val="TM3"/>
        <w:rPr>
          <w:rFonts w:asciiTheme="minorHAnsi" w:eastAsiaTheme="minorEastAsia" w:hAnsiTheme="minorHAnsi" w:cstheme="minorBidi"/>
          <w:sz w:val="22"/>
          <w:szCs w:val="22"/>
          <w:lang w:val="fr-FR" w:eastAsia="fr-FR"/>
        </w:rPr>
      </w:pPr>
      <w:r w:rsidRPr="004058F4">
        <w:rPr>
          <w:lang w:val="en-US"/>
        </w:rPr>
        <w:t>4.3.7. Well-being</w:t>
      </w:r>
      <w:r>
        <w:tab/>
      </w:r>
      <w:r>
        <w:fldChar w:fldCharType="begin"/>
      </w:r>
      <w:r>
        <w:instrText xml:space="preserve"> PAGEREF _Toc124754814 \h </w:instrText>
      </w:r>
      <w:r>
        <w:fldChar w:fldCharType="separate"/>
      </w:r>
      <w:r>
        <w:t>11</w:t>
      </w:r>
      <w:r>
        <w:fldChar w:fldCharType="end"/>
      </w:r>
    </w:p>
    <w:p w14:paraId="5B19D38E" w14:textId="5E1B9A7B" w:rsidR="000665AE" w:rsidRDefault="000665AE">
      <w:pPr>
        <w:pStyle w:val="TM3"/>
        <w:rPr>
          <w:rFonts w:asciiTheme="minorHAnsi" w:eastAsiaTheme="minorEastAsia" w:hAnsiTheme="minorHAnsi" w:cstheme="minorBidi"/>
          <w:sz w:val="22"/>
          <w:szCs w:val="22"/>
          <w:lang w:val="fr-FR" w:eastAsia="fr-FR"/>
        </w:rPr>
      </w:pPr>
      <w:r w:rsidRPr="004058F4">
        <w:rPr>
          <w:lang w:val="en-US"/>
        </w:rPr>
        <w:t>4.3.8. Persisting changes following the disruption</w:t>
      </w:r>
      <w:r>
        <w:tab/>
      </w:r>
      <w:r>
        <w:fldChar w:fldCharType="begin"/>
      </w:r>
      <w:r>
        <w:instrText xml:space="preserve"> PAGEREF _Toc124754815 \h </w:instrText>
      </w:r>
      <w:r>
        <w:fldChar w:fldCharType="separate"/>
      </w:r>
      <w:r>
        <w:t>11</w:t>
      </w:r>
      <w:r>
        <w:fldChar w:fldCharType="end"/>
      </w:r>
    </w:p>
    <w:p w14:paraId="08D5CF9F" w14:textId="4C52FC00" w:rsidR="000665AE" w:rsidRDefault="000665AE">
      <w:pPr>
        <w:pStyle w:val="TM2"/>
        <w:rPr>
          <w:rFonts w:asciiTheme="minorHAnsi" w:eastAsiaTheme="minorEastAsia" w:hAnsiTheme="minorHAnsi" w:cstheme="minorBidi"/>
          <w:sz w:val="22"/>
          <w:szCs w:val="22"/>
          <w:lang w:val="fr-FR" w:eastAsia="fr-FR"/>
        </w:rPr>
      </w:pPr>
      <w:r>
        <w:t>4.4. Medical care and pandemic tools</w:t>
      </w:r>
      <w:r>
        <w:tab/>
      </w:r>
      <w:r>
        <w:fldChar w:fldCharType="begin"/>
      </w:r>
      <w:r>
        <w:instrText xml:space="preserve"> PAGEREF _Toc124754816 \h </w:instrText>
      </w:r>
      <w:r>
        <w:fldChar w:fldCharType="separate"/>
      </w:r>
      <w:r>
        <w:t>11</w:t>
      </w:r>
      <w:r>
        <w:fldChar w:fldCharType="end"/>
      </w:r>
    </w:p>
    <w:p w14:paraId="0D8AC2DC" w14:textId="042B562A" w:rsidR="000665AE" w:rsidRDefault="000665AE">
      <w:pPr>
        <w:pStyle w:val="TM3"/>
        <w:rPr>
          <w:rFonts w:asciiTheme="minorHAnsi" w:eastAsiaTheme="minorEastAsia" w:hAnsiTheme="minorHAnsi" w:cstheme="minorBidi"/>
          <w:sz w:val="22"/>
          <w:szCs w:val="22"/>
          <w:lang w:val="fr-FR" w:eastAsia="fr-FR"/>
        </w:rPr>
      </w:pPr>
      <w:r w:rsidRPr="004058F4">
        <w:rPr>
          <w:lang w:val="en-US"/>
        </w:rPr>
        <w:t>4.4.1 The boost of telemedicine</w:t>
      </w:r>
      <w:r>
        <w:tab/>
      </w:r>
      <w:r>
        <w:fldChar w:fldCharType="begin"/>
      </w:r>
      <w:r>
        <w:instrText xml:space="preserve"> PAGEREF _Toc124754817 \h </w:instrText>
      </w:r>
      <w:r>
        <w:fldChar w:fldCharType="separate"/>
      </w:r>
      <w:r>
        <w:t>11</w:t>
      </w:r>
      <w:r>
        <w:fldChar w:fldCharType="end"/>
      </w:r>
    </w:p>
    <w:p w14:paraId="1F6218F6" w14:textId="00B5F5DD" w:rsidR="000665AE" w:rsidRDefault="000665AE">
      <w:pPr>
        <w:pStyle w:val="TM9"/>
        <w:rPr>
          <w:rFonts w:asciiTheme="minorHAnsi" w:eastAsiaTheme="minorEastAsia" w:hAnsiTheme="minorHAnsi" w:cstheme="minorBidi"/>
          <w:b w:val="0"/>
          <w:szCs w:val="22"/>
          <w:lang w:val="fr-FR" w:eastAsia="fr-FR"/>
        </w:rPr>
      </w:pPr>
      <w:r>
        <w:t>Annex A: Title of annex</w:t>
      </w:r>
      <w:r>
        <w:tab/>
      </w:r>
      <w:r>
        <w:fldChar w:fldCharType="begin"/>
      </w:r>
      <w:r>
        <w:instrText xml:space="preserve"> PAGEREF _Toc124754818 \h </w:instrText>
      </w:r>
      <w:r>
        <w:fldChar w:fldCharType="separate"/>
      </w:r>
      <w:r>
        <w:t>13</w:t>
      </w:r>
      <w:r>
        <w:fldChar w:fldCharType="end"/>
      </w:r>
    </w:p>
    <w:p w14:paraId="11646133" w14:textId="567D9045" w:rsidR="000665AE" w:rsidRDefault="000665AE">
      <w:pPr>
        <w:pStyle w:val="TM9"/>
        <w:rPr>
          <w:rFonts w:asciiTheme="minorHAnsi" w:eastAsiaTheme="minorEastAsia" w:hAnsiTheme="minorHAnsi" w:cstheme="minorBidi"/>
          <w:b w:val="0"/>
          <w:szCs w:val="22"/>
          <w:lang w:val="fr-FR" w:eastAsia="fr-FR"/>
        </w:rPr>
      </w:pPr>
      <w:r>
        <w:t>Annex: Bibliography</w:t>
      </w:r>
      <w:r>
        <w:tab/>
      </w:r>
      <w:r>
        <w:fldChar w:fldCharType="begin"/>
      </w:r>
      <w:r>
        <w:instrText xml:space="preserve"> PAGEREF _Toc124754819 \h </w:instrText>
      </w:r>
      <w:r>
        <w:fldChar w:fldCharType="separate"/>
      </w:r>
      <w:r>
        <w:t>14</w:t>
      </w:r>
      <w:r>
        <w:fldChar w:fldCharType="end"/>
      </w:r>
    </w:p>
    <w:p w14:paraId="52F18E1C" w14:textId="75187AB8" w:rsidR="000665AE" w:rsidRDefault="000665AE">
      <w:pPr>
        <w:pStyle w:val="TM9"/>
        <w:rPr>
          <w:rFonts w:asciiTheme="minorHAnsi" w:eastAsiaTheme="minorEastAsia" w:hAnsiTheme="minorHAnsi" w:cstheme="minorBidi"/>
          <w:b w:val="0"/>
          <w:szCs w:val="22"/>
          <w:lang w:val="fr-FR" w:eastAsia="fr-FR"/>
        </w:rPr>
      </w:pPr>
      <w:r>
        <w:t>Annex: Change History</w:t>
      </w:r>
      <w:r>
        <w:tab/>
      </w:r>
      <w:r>
        <w:fldChar w:fldCharType="begin"/>
      </w:r>
      <w:r>
        <w:instrText xml:space="preserve"> PAGEREF _Toc124754820 \h </w:instrText>
      </w:r>
      <w:r>
        <w:fldChar w:fldCharType="separate"/>
      </w:r>
      <w:r>
        <w:t>15</w:t>
      </w:r>
      <w:r>
        <w:fldChar w:fldCharType="end"/>
      </w:r>
    </w:p>
    <w:p w14:paraId="17E5A4F0" w14:textId="5356D270" w:rsidR="000665AE" w:rsidRDefault="000665AE">
      <w:pPr>
        <w:pStyle w:val="TM1"/>
        <w:rPr>
          <w:rFonts w:asciiTheme="minorHAnsi" w:eastAsiaTheme="minorEastAsia" w:hAnsiTheme="minorHAnsi" w:cstheme="minorBidi"/>
          <w:szCs w:val="22"/>
          <w:lang w:val="fr-FR" w:eastAsia="fr-FR"/>
        </w:rPr>
      </w:pPr>
      <w:r>
        <w:t>History</w:t>
      </w:r>
      <w:r>
        <w:tab/>
      </w:r>
      <w:r>
        <w:fldChar w:fldCharType="begin"/>
      </w:r>
      <w:r>
        <w:instrText xml:space="preserve"> PAGEREF _Toc124754821 \h </w:instrText>
      </w:r>
      <w:r>
        <w:fldChar w:fldCharType="separate"/>
      </w:r>
      <w:r>
        <w:t>16</w:t>
      </w:r>
      <w:r>
        <w:fldChar w:fldCharType="end"/>
      </w:r>
    </w:p>
    <w:p w14:paraId="348B10C7" w14:textId="5FF539B7" w:rsidR="00BB6418" w:rsidRPr="00F54712" w:rsidRDefault="00E33D4C">
      <w:r>
        <w:fldChar w:fldCharType="end"/>
      </w:r>
    </w:p>
    <w:p w14:paraId="560F6162" w14:textId="77777777" w:rsidR="00172200" w:rsidRPr="00F54712" w:rsidRDefault="00BB6418" w:rsidP="00882573">
      <w:pPr>
        <w:spacing w:after="0"/>
        <w:ind w:left="-567"/>
        <w:rPr>
          <w:rStyle w:val="Guidance"/>
          <w:rFonts w:ascii="Arial" w:hAnsi="Arial" w:cs="Arial"/>
          <w:sz w:val="18"/>
          <w:szCs w:val="18"/>
        </w:rPr>
      </w:pPr>
      <w:r w:rsidRPr="00F54712">
        <w:rPr>
          <w:szCs w:val="36"/>
        </w:rPr>
        <w:br w:type="page"/>
      </w:r>
    </w:p>
    <w:p w14:paraId="2717C432" w14:textId="77777777" w:rsidR="00BB6418" w:rsidRPr="00F54712" w:rsidRDefault="00BB6418" w:rsidP="00787554">
      <w:pPr>
        <w:pStyle w:val="Titre1"/>
      </w:pPr>
      <w:bookmarkStart w:id="16" w:name="_Toc451532663"/>
      <w:bookmarkStart w:id="17" w:name="_Toc487531422"/>
      <w:bookmarkStart w:id="18" w:name="_Toc527986725"/>
      <w:bookmarkStart w:id="19" w:name="_Toc67666480"/>
      <w:bookmarkStart w:id="20" w:name="_Toc67667087"/>
      <w:bookmarkStart w:id="21" w:name="_Toc124754786"/>
      <w:r w:rsidRPr="00F54712">
        <w:lastRenderedPageBreak/>
        <w:t>Intellectual Property Rights</w:t>
      </w:r>
      <w:bookmarkEnd w:id="16"/>
      <w:bookmarkEnd w:id="17"/>
      <w:bookmarkEnd w:id="18"/>
      <w:bookmarkEnd w:id="19"/>
      <w:bookmarkEnd w:id="20"/>
      <w:bookmarkEnd w:id="21"/>
    </w:p>
    <w:p w14:paraId="55CE729A" w14:textId="77777777" w:rsidR="00D83CB3" w:rsidRPr="00D579D5" w:rsidRDefault="00D83CB3" w:rsidP="00D83CB3">
      <w:pPr>
        <w:pStyle w:val="H6"/>
      </w:pPr>
      <w:r w:rsidRPr="00D579D5">
        <w:t xml:space="preserve">Essential patents </w:t>
      </w:r>
    </w:p>
    <w:p w14:paraId="6C0F5FE0" w14:textId="244D7D0A" w:rsidR="00D83CB3" w:rsidRPr="00D579D5" w:rsidRDefault="00D83CB3" w:rsidP="00D83CB3">
      <w:r w:rsidRPr="00D579D5">
        <w:t xml:space="preserve">IPRs essential or potentially essential to </w:t>
      </w:r>
      <w:r w:rsidR="00663363">
        <w:t>normative deliverables</w:t>
      </w:r>
      <w:r w:rsidRPr="00D579D5">
        <w:t xml:space="preserve"> may have been declared to ETSI. The </w:t>
      </w:r>
      <w:r w:rsidR="00C35B43" w:rsidRPr="00C35B43">
        <w:t xml:space="preserve">declarations </w:t>
      </w:r>
      <w:r w:rsidRPr="00D579D5">
        <w:t xml:space="preserve">pertaining to these essential IPRs, if any, </w:t>
      </w:r>
      <w:r w:rsidR="00C35B43">
        <w:t>are</w:t>
      </w:r>
      <w:r w:rsidR="00C35B43" w:rsidRPr="00D579D5">
        <w:t xml:space="preserve"> </w:t>
      </w:r>
      <w:r w:rsidRPr="00D579D5">
        <w:t xml:space="preserve">publicly available for </w:t>
      </w:r>
      <w:r w:rsidRPr="00D579D5">
        <w:rPr>
          <w:b/>
          <w:bCs/>
        </w:rPr>
        <w:t>ETSI members and non-members</w:t>
      </w:r>
      <w:r w:rsidRPr="00D579D5">
        <w:t xml:space="preserve">, and can be found in ETSI SR 000 314: </w:t>
      </w:r>
      <w:r w:rsidRPr="00D579D5">
        <w:rPr>
          <w:i/>
          <w:iCs/>
        </w:rPr>
        <w:t>"Intellectual Property Rights (IPRs); Essential, or potentially Essential, IPRs notified to ETSI in respect of ETSI standards"</w:t>
      </w:r>
      <w:r w:rsidRPr="00D579D5">
        <w:t>, which is available from the ETSI Secretariat. Latest updates are available on the ETSI Web server (</w:t>
      </w:r>
      <w:hyperlink r:id="rId15" w:history="1">
        <w:r w:rsidRPr="00D579D5">
          <w:rPr>
            <w:rStyle w:val="Lienhypertexte"/>
          </w:rPr>
          <w:t>https://ipr.etsi.org</w:t>
        </w:r>
      </w:hyperlink>
      <w:r w:rsidRPr="00D579D5">
        <w:t>).</w:t>
      </w:r>
    </w:p>
    <w:p w14:paraId="24DDFDBA" w14:textId="313D14B2" w:rsidR="00D83CB3" w:rsidRPr="00D579D5" w:rsidRDefault="00D83CB3" w:rsidP="00D83CB3">
      <w:r w:rsidRPr="00D579D5">
        <w:t xml:space="preserve">Pursuant to the ETSI </w:t>
      </w:r>
      <w:r w:rsidR="00C35B43" w:rsidRPr="00C35B43">
        <w:t xml:space="preserve">Directives including the ETSI </w:t>
      </w:r>
      <w:r w:rsidRPr="00D579D5">
        <w:t>IPR Policy, no investigation</w:t>
      </w:r>
      <w:r w:rsidR="00C35B43" w:rsidRPr="00C35B43">
        <w:t xml:space="preserve"> regarding the essentiality of IPRs</w:t>
      </w:r>
      <w:r w:rsidRPr="00D579D5">
        <w:t>, including IPR searches, has been carried out by ETSI. No guarantee can be given as to the existence of other IPRs not referenced in ETSI SR 000 314 (or the updates on the ETSI Web server) which are, or may be, or may become, essential to the present document.</w:t>
      </w:r>
    </w:p>
    <w:p w14:paraId="735B8B07" w14:textId="77777777" w:rsidR="00D83CB3" w:rsidRPr="00D579D5" w:rsidRDefault="00D83CB3" w:rsidP="00D83CB3">
      <w:pPr>
        <w:pStyle w:val="H6"/>
      </w:pPr>
      <w:r w:rsidRPr="00D579D5">
        <w:t>Trademarks</w:t>
      </w:r>
    </w:p>
    <w:p w14:paraId="19F1902B" w14:textId="0BBC245A" w:rsidR="00995BDD" w:rsidRDefault="00D83CB3" w:rsidP="00D83CB3">
      <w:r w:rsidRPr="00D579D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BCB51CF" w14:textId="22CF9662" w:rsidR="00C35B43" w:rsidRPr="00F54712" w:rsidRDefault="0049555D" w:rsidP="00D83CB3">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63348894" w14:textId="77777777" w:rsidR="00BB6418" w:rsidRPr="00F54712" w:rsidRDefault="00BB6418">
      <w:pPr>
        <w:pStyle w:val="Titre1"/>
      </w:pPr>
      <w:bookmarkStart w:id="22" w:name="_Toc451532664"/>
      <w:bookmarkStart w:id="23" w:name="_Toc487531423"/>
      <w:bookmarkStart w:id="24" w:name="_Toc527986726"/>
      <w:bookmarkStart w:id="25" w:name="_Toc67666481"/>
      <w:bookmarkStart w:id="26" w:name="_Toc67667088"/>
      <w:bookmarkStart w:id="27" w:name="_Toc124754787"/>
      <w:r w:rsidRPr="00F54712">
        <w:t>Foreword</w:t>
      </w:r>
      <w:bookmarkEnd w:id="22"/>
      <w:bookmarkEnd w:id="23"/>
      <w:bookmarkEnd w:id="24"/>
      <w:bookmarkEnd w:id="25"/>
      <w:bookmarkEnd w:id="26"/>
      <w:bookmarkEnd w:id="27"/>
    </w:p>
    <w:p w14:paraId="71687020" w14:textId="77777777" w:rsidR="00BB6418" w:rsidRPr="00F54712" w:rsidRDefault="00BB6418">
      <w:r w:rsidRPr="00F54712">
        <w:t xml:space="preserve">This </w:t>
      </w:r>
      <w:bookmarkStart w:id="28" w:name="For_doctype"/>
      <w:r w:rsidRPr="00F54712">
        <w:t>Technical Report (TR)</w:t>
      </w:r>
      <w:bookmarkEnd w:id="28"/>
      <w:r w:rsidRPr="00F54712">
        <w:t xml:space="preserve"> has been produced by </w:t>
      </w:r>
      <w:bookmarkStart w:id="29" w:name="For_tbname"/>
      <w:r w:rsidRPr="00F54712">
        <w:t xml:space="preserve">{ETSI Technical </w:t>
      </w:r>
      <w:proofErr w:type="spellStart"/>
      <w:r w:rsidRPr="00F54712">
        <w:t>Committee|ETSI</w:t>
      </w:r>
      <w:proofErr w:type="spellEnd"/>
      <w:r w:rsidRPr="00F54712">
        <w:t xml:space="preserve"> Project|&lt;other&gt;} &lt;long </w:t>
      </w:r>
      <w:proofErr w:type="spellStart"/>
      <w:r w:rsidRPr="00F54712">
        <w:t>techbody</w:t>
      </w:r>
      <w:proofErr w:type="spellEnd"/>
      <w:r w:rsidRPr="00F54712">
        <w:t xml:space="preserve">&gt; </w:t>
      </w:r>
      <w:bookmarkEnd w:id="29"/>
      <w:r w:rsidRPr="00F54712">
        <w:t>(</w:t>
      </w:r>
      <w:bookmarkStart w:id="30" w:name="For_shortname"/>
      <w:r w:rsidRPr="00F54712">
        <w:t xml:space="preserve">&lt;short </w:t>
      </w:r>
      <w:proofErr w:type="spellStart"/>
      <w:r w:rsidRPr="00F54712">
        <w:t>techbody</w:t>
      </w:r>
      <w:proofErr w:type="spellEnd"/>
      <w:r w:rsidRPr="00F54712">
        <w:t>&gt;</w:t>
      </w:r>
      <w:bookmarkEnd w:id="30"/>
      <w:r w:rsidRPr="00F54712">
        <w:t>).</w:t>
      </w:r>
    </w:p>
    <w:p w14:paraId="4EA27E13" w14:textId="77777777" w:rsidR="00414E11" w:rsidRPr="00F54712" w:rsidRDefault="00882573" w:rsidP="00414E11">
      <w:pPr>
        <w:pStyle w:val="Titre1"/>
        <w:rPr>
          <w:b/>
        </w:rPr>
      </w:pPr>
      <w:bookmarkStart w:id="31" w:name="_Toc451532665"/>
      <w:bookmarkStart w:id="32" w:name="_Toc487531424"/>
      <w:bookmarkStart w:id="33" w:name="_Toc527986727"/>
      <w:bookmarkStart w:id="34" w:name="_Toc67666482"/>
      <w:bookmarkStart w:id="35" w:name="_Toc67667089"/>
      <w:bookmarkStart w:id="36" w:name="_Toc124754788"/>
      <w:r w:rsidRPr="00F54712">
        <w:t>Modal verbs terminology</w:t>
      </w:r>
      <w:bookmarkEnd w:id="31"/>
      <w:bookmarkEnd w:id="32"/>
      <w:bookmarkEnd w:id="33"/>
      <w:bookmarkEnd w:id="34"/>
      <w:bookmarkEnd w:id="35"/>
      <w:bookmarkEnd w:id="36"/>
    </w:p>
    <w:p w14:paraId="4ACB81E2" w14:textId="77777777" w:rsidR="00882573" w:rsidRPr="00810C6B" w:rsidRDefault="00882573" w:rsidP="00882573">
      <w:r w:rsidRPr="00810C6B">
        <w:t>In the present document "</w:t>
      </w:r>
      <w:r w:rsidRPr="00810C6B">
        <w:rPr>
          <w:b/>
          <w:bCs/>
        </w:rPr>
        <w:t>should</w:t>
      </w:r>
      <w:r w:rsidRPr="00810C6B">
        <w:t>", "</w:t>
      </w:r>
      <w:r w:rsidRPr="00810C6B">
        <w:rPr>
          <w:b/>
          <w:bCs/>
        </w:rPr>
        <w:t>should not</w:t>
      </w:r>
      <w:r w:rsidRPr="00810C6B">
        <w:t>", "</w:t>
      </w:r>
      <w:r w:rsidRPr="00810C6B">
        <w:rPr>
          <w:b/>
          <w:bCs/>
        </w:rPr>
        <w:t>may</w:t>
      </w:r>
      <w:r w:rsidRPr="00810C6B">
        <w:t>", "</w:t>
      </w:r>
      <w:r w:rsidRPr="00810C6B">
        <w:rPr>
          <w:b/>
          <w:bCs/>
        </w:rPr>
        <w:t>need not</w:t>
      </w:r>
      <w:r w:rsidR="00454E34" w:rsidRPr="00810C6B">
        <w:t>", "</w:t>
      </w:r>
      <w:r w:rsidRPr="00810C6B">
        <w:rPr>
          <w:b/>
          <w:bCs/>
        </w:rPr>
        <w:t>will</w:t>
      </w:r>
      <w:r w:rsidR="00454E34" w:rsidRPr="00810C6B">
        <w:rPr>
          <w:bCs/>
        </w:rPr>
        <w:t>"</w:t>
      </w:r>
      <w:r w:rsidRPr="00810C6B">
        <w:t xml:space="preserve">, </w:t>
      </w:r>
      <w:r w:rsidR="00454E34" w:rsidRPr="00810C6B">
        <w:rPr>
          <w:bCs/>
        </w:rPr>
        <w:t>"</w:t>
      </w:r>
      <w:r w:rsidRPr="00810C6B">
        <w:rPr>
          <w:b/>
          <w:bCs/>
        </w:rPr>
        <w:t>will not</w:t>
      </w:r>
      <w:r w:rsidR="00454E34" w:rsidRPr="00810C6B">
        <w:rPr>
          <w:bCs/>
        </w:rPr>
        <w:t>"</w:t>
      </w:r>
      <w:r w:rsidRPr="00810C6B">
        <w:t>, "</w:t>
      </w:r>
      <w:r w:rsidRPr="00810C6B">
        <w:rPr>
          <w:b/>
          <w:bCs/>
        </w:rPr>
        <w:t>can</w:t>
      </w:r>
      <w:r w:rsidRPr="00810C6B">
        <w:t>" and "</w:t>
      </w:r>
      <w:r w:rsidRPr="00810C6B">
        <w:rPr>
          <w:b/>
          <w:bCs/>
        </w:rPr>
        <w:t>cannot</w:t>
      </w:r>
      <w:r w:rsidRPr="00810C6B">
        <w:t xml:space="preserve">" are to be interpreted as described in clause 3.2 of the </w:t>
      </w:r>
      <w:hyperlink r:id="rId16" w:history="1">
        <w:r w:rsidRPr="00810C6B">
          <w:rPr>
            <w:rStyle w:val="Lienhypertexte"/>
          </w:rPr>
          <w:t>ETSI Drafting Rules</w:t>
        </w:r>
      </w:hyperlink>
      <w:r w:rsidRPr="00810C6B">
        <w:t xml:space="preserve"> (Verbal forms for the expression of provisions).</w:t>
      </w:r>
    </w:p>
    <w:p w14:paraId="7C4292EA" w14:textId="77777777" w:rsidR="00882573" w:rsidRPr="00810C6B" w:rsidRDefault="00882573" w:rsidP="00882573">
      <w:r w:rsidRPr="00810C6B">
        <w:t>"</w:t>
      </w:r>
      <w:r w:rsidRPr="00810C6B">
        <w:rPr>
          <w:b/>
          <w:bCs/>
        </w:rPr>
        <w:t>must</w:t>
      </w:r>
      <w:r w:rsidRPr="00810C6B">
        <w:t>" and "</w:t>
      </w:r>
      <w:r w:rsidRPr="00810C6B">
        <w:rPr>
          <w:b/>
          <w:bCs/>
        </w:rPr>
        <w:t>must not</w:t>
      </w:r>
      <w:r w:rsidRPr="00810C6B">
        <w:t xml:space="preserve">" are </w:t>
      </w:r>
      <w:r w:rsidRPr="00810C6B">
        <w:rPr>
          <w:b/>
          <w:bCs/>
        </w:rPr>
        <w:t>NOT</w:t>
      </w:r>
      <w:r w:rsidRPr="00810C6B">
        <w:t xml:space="preserve"> allowed in ETSI deliverables except when used in direct citation.</w:t>
      </w:r>
    </w:p>
    <w:p w14:paraId="210B16B7" w14:textId="77777777" w:rsidR="009A2D0B" w:rsidRDefault="009A2D0B" w:rsidP="009A2D0B">
      <w:pPr>
        <w:pStyle w:val="Titre1"/>
        <w:spacing w:before="0"/>
      </w:pPr>
      <w:bookmarkStart w:id="37" w:name="_Toc451532666"/>
      <w:bookmarkStart w:id="38" w:name="_Toc487531425"/>
      <w:bookmarkStart w:id="39" w:name="_Toc527986728"/>
      <w:bookmarkStart w:id="40" w:name="_Toc67666483"/>
      <w:bookmarkStart w:id="41" w:name="_Toc67667090"/>
      <w:bookmarkStart w:id="42" w:name="_Toc124754789"/>
      <w:r w:rsidRPr="00F54712">
        <w:t>Executive summary</w:t>
      </w:r>
      <w:bookmarkEnd w:id="37"/>
      <w:bookmarkEnd w:id="38"/>
      <w:bookmarkEnd w:id="39"/>
      <w:bookmarkEnd w:id="40"/>
      <w:bookmarkEnd w:id="41"/>
      <w:bookmarkEnd w:id="42"/>
    </w:p>
    <w:p w14:paraId="41734020" w14:textId="77777777" w:rsidR="009A00D6" w:rsidRPr="009A00D6" w:rsidRDefault="009A00D6" w:rsidP="009A00D6"/>
    <w:p w14:paraId="7D6FD6B3" w14:textId="77777777" w:rsidR="009A2D0B" w:rsidRPr="00F54712" w:rsidRDefault="009A2D0B" w:rsidP="009A2D0B">
      <w:pPr>
        <w:pStyle w:val="Titre1"/>
      </w:pPr>
      <w:bookmarkStart w:id="43" w:name="_Toc451532667"/>
      <w:bookmarkStart w:id="44" w:name="_Toc487531426"/>
      <w:bookmarkStart w:id="45" w:name="_Toc527986729"/>
      <w:bookmarkStart w:id="46" w:name="_Toc67666484"/>
      <w:bookmarkStart w:id="47" w:name="_Toc67667091"/>
      <w:bookmarkStart w:id="48" w:name="_Toc124754790"/>
      <w:r w:rsidRPr="00F54712">
        <w:t>Introduction</w:t>
      </w:r>
      <w:bookmarkEnd w:id="43"/>
      <w:bookmarkEnd w:id="44"/>
      <w:bookmarkEnd w:id="45"/>
      <w:bookmarkEnd w:id="46"/>
      <w:bookmarkEnd w:id="47"/>
      <w:bookmarkEnd w:id="48"/>
    </w:p>
    <w:p w14:paraId="468C9161" w14:textId="77777777" w:rsidR="009A00D6" w:rsidRDefault="009A00D6" w:rsidP="009A00D6"/>
    <w:p w14:paraId="19B215ED" w14:textId="77777777" w:rsidR="009A00D6" w:rsidRDefault="009A00D6">
      <w:pPr>
        <w:overflowPunct/>
        <w:autoSpaceDE/>
        <w:autoSpaceDN/>
        <w:adjustRightInd/>
        <w:spacing w:after="0"/>
        <w:textAlignment w:val="auto"/>
        <w:rPr>
          <w:rFonts w:ascii="Arial" w:hAnsi="Arial"/>
          <w:sz w:val="36"/>
        </w:rPr>
      </w:pPr>
      <w:r>
        <w:br w:type="page"/>
      </w:r>
    </w:p>
    <w:p w14:paraId="5FFFD6D9" w14:textId="77777777" w:rsidR="00BB6418" w:rsidRPr="00F54712" w:rsidRDefault="00BB6418" w:rsidP="00BB6418">
      <w:pPr>
        <w:pStyle w:val="Titre1"/>
      </w:pPr>
      <w:bookmarkStart w:id="49" w:name="_Toc451532668"/>
      <w:bookmarkStart w:id="50" w:name="_Toc487531427"/>
      <w:bookmarkStart w:id="51" w:name="_Toc527986730"/>
      <w:bookmarkStart w:id="52" w:name="_Toc67666485"/>
      <w:bookmarkStart w:id="53" w:name="_Toc67667092"/>
      <w:bookmarkStart w:id="54" w:name="_Toc124754791"/>
      <w:r w:rsidRPr="00F54712">
        <w:lastRenderedPageBreak/>
        <w:t>1</w:t>
      </w:r>
      <w:r w:rsidRPr="00F54712">
        <w:tab/>
        <w:t>Scope</w:t>
      </w:r>
      <w:bookmarkEnd w:id="49"/>
      <w:bookmarkEnd w:id="50"/>
      <w:bookmarkEnd w:id="51"/>
      <w:bookmarkEnd w:id="52"/>
      <w:bookmarkEnd w:id="53"/>
      <w:bookmarkEnd w:id="54"/>
    </w:p>
    <w:p w14:paraId="29032266" w14:textId="4CB70AD7" w:rsidR="00FF509A" w:rsidRDefault="00FF509A" w:rsidP="00FF509A">
      <w:bookmarkStart w:id="55" w:name="_Toc451532669"/>
      <w:bookmarkStart w:id="56" w:name="_Toc487531428"/>
      <w:bookmarkStart w:id="57" w:name="_Toc527986731"/>
      <w:bookmarkStart w:id="58" w:name="_Toc67666486"/>
      <w:bookmarkStart w:id="59" w:name="_Toc67667093"/>
      <w:r>
        <w:t xml:space="preserve">The present document provides </w:t>
      </w:r>
      <w:r w:rsidR="006875CA">
        <w:t>data from</w:t>
      </w:r>
      <w:r>
        <w:t xml:space="preserve"> surveys conducted with users on their private and professional usages</w:t>
      </w:r>
      <w:r w:rsidR="006875CA">
        <w:t xml:space="preserve"> and also data from different publications</w:t>
      </w:r>
      <w:r>
        <w:t>. It also includes feedbacks from User Associations which receive complains from their members</w:t>
      </w:r>
      <w:r w:rsidR="006875CA">
        <w:t>, that need to be taken into account for future lockdowns or use of communication tools</w:t>
      </w:r>
      <w:r>
        <w:t>.</w:t>
      </w:r>
    </w:p>
    <w:p w14:paraId="784B59D3" w14:textId="2062BDF2" w:rsidR="00FF509A" w:rsidRDefault="00FF509A" w:rsidP="00FF509A">
      <w:r>
        <w:t xml:space="preserve">The Lockdown due to Covid-19 has created new needs for the users and new use cases (for e-learning, e-working, entertainments, communication,...). </w:t>
      </w:r>
    </w:p>
    <w:p w14:paraId="7DC1EB62" w14:textId="39466690" w:rsidR="00FF509A" w:rsidRDefault="00FF509A" w:rsidP="00FF509A">
      <w:r>
        <w:t xml:space="preserve">The Technical report defines the </w:t>
      </w:r>
      <w:r w:rsidR="006875CA">
        <w:t xml:space="preserve">basis of a </w:t>
      </w:r>
      <w:r>
        <w:t xml:space="preserve">survey </w:t>
      </w:r>
      <w:r w:rsidR="006875CA">
        <w:t xml:space="preserve">to be </w:t>
      </w:r>
      <w:r>
        <w:t xml:space="preserve">conducted in different European countries. It also provides </w:t>
      </w:r>
      <w:r w:rsidR="006875CA">
        <w:t>data of usages and complaints of users</w:t>
      </w:r>
      <w:r>
        <w:t xml:space="preserve"> and the analysis </w:t>
      </w:r>
      <w:r w:rsidR="006875CA">
        <w:t>to be taken into account by regulators, network operators, manufacturers, service providers for</w:t>
      </w:r>
      <w:r>
        <w:t xml:space="preserve"> the products, services, </w:t>
      </w:r>
      <w:r w:rsidR="006875CA">
        <w:t xml:space="preserve">and for </w:t>
      </w:r>
      <w:r>
        <w:t xml:space="preserve">different types of users and of use cases. </w:t>
      </w:r>
    </w:p>
    <w:p w14:paraId="137018FF" w14:textId="77777777" w:rsidR="00FF509A" w:rsidRDefault="00FF509A" w:rsidP="00FF509A">
      <w:r>
        <w:t xml:space="preserve">It also identifies needs for standardization, regulation, innovation to answer to user needs. </w:t>
      </w:r>
    </w:p>
    <w:p w14:paraId="24F39BCF" w14:textId="148B3905" w:rsidR="009A2D0B" w:rsidRPr="00F54712" w:rsidRDefault="00FF509A" w:rsidP="00FF509A">
      <w:r>
        <w:t>Note: User Group conducted surveys before the pandemic period (see [i.1] and [i.2]. The TR includes the results of these surveys on parameters that have also been considered in the potential new surveys</w:t>
      </w:r>
      <w:bookmarkEnd w:id="55"/>
      <w:bookmarkEnd w:id="56"/>
      <w:bookmarkEnd w:id="57"/>
      <w:bookmarkEnd w:id="58"/>
      <w:bookmarkEnd w:id="59"/>
      <w:r>
        <w:t>.</w:t>
      </w:r>
    </w:p>
    <w:p w14:paraId="77512AAC" w14:textId="77777777" w:rsidR="00FF509A" w:rsidRPr="00F54712" w:rsidRDefault="00FF509A" w:rsidP="00FF509A">
      <w:pPr>
        <w:pStyle w:val="Titre1"/>
      </w:pPr>
      <w:bookmarkStart w:id="60" w:name="_Toc124754792"/>
      <w:bookmarkStart w:id="61" w:name="_Toc451532670"/>
      <w:bookmarkStart w:id="62" w:name="_Toc487531429"/>
      <w:bookmarkStart w:id="63" w:name="_Toc527986732"/>
      <w:bookmarkStart w:id="64" w:name="_Toc67666487"/>
      <w:bookmarkStart w:id="65" w:name="_Toc67667094"/>
      <w:r w:rsidRPr="00F54712">
        <w:t>2</w:t>
      </w:r>
      <w:r w:rsidRPr="00F54712">
        <w:tab/>
        <w:t>References</w:t>
      </w:r>
      <w:bookmarkEnd w:id="60"/>
    </w:p>
    <w:p w14:paraId="30AD19F5" w14:textId="77777777" w:rsidR="00653A3B" w:rsidRPr="00F54712" w:rsidRDefault="00653A3B" w:rsidP="00653A3B">
      <w:pPr>
        <w:pStyle w:val="Titre2"/>
      </w:pPr>
      <w:bookmarkStart w:id="66" w:name="_Toc124754793"/>
      <w:r w:rsidRPr="00F54712">
        <w:t>2.1</w:t>
      </w:r>
      <w:r w:rsidRPr="00F54712">
        <w:tab/>
        <w:t>Normative references</w:t>
      </w:r>
      <w:bookmarkEnd w:id="61"/>
      <w:bookmarkEnd w:id="62"/>
      <w:bookmarkEnd w:id="63"/>
      <w:bookmarkEnd w:id="64"/>
      <w:bookmarkEnd w:id="65"/>
      <w:bookmarkEnd w:id="66"/>
    </w:p>
    <w:p w14:paraId="7BC9A9F6" w14:textId="77777777" w:rsidR="003420EA" w:rsidRDefault="003420EA" w:rsidP="003420EA">
      <w:r>
        <w:t>Normative references are not applicable in the present document.</w:t>
      </w:r>
    </w:p>
    <w:p w14:paraId="028A3A08" w14:textId="77777777" w:rsidR="00653A3B" w:rsidRPr="00F54712" w:rsidRDefault="00653A3B" w:rsidP="00234A51">
      <w:pPr>
        <w:pStyle w:val="Titre2"/>
      </w:pPr>
      <w:bookmarkStart w:id="67" w:name="_Toc451532671"/>
      <w:bookmarkStart w:id="68" w:name="_Toc487531430"/>
      <w:bookmarkStart w:id="69" w:name="_Toc527986733"/>
      <w:bookmarkStart w:id="70" w:name="_Toc67666488"/>
      <w:bookmarkStart w:id="71" w:name="_Toc67667095"/>
      <w:bookmarkStart w:id="72" w:name="_Toc124754794"/>
      <w:r w:rsidRPr="00F54712">
        <w:t>2.2</w:t>
      </w:r>
      <w:r w:rsidRPr="00F54712">
        <w:tab/>
        <w:t>Informative references</w:t>
      </w:r>
      <w:bookmarkEnd w:id="67"/>
      <w:bookmarkEnd w:id="68"/>
      <w:bookmarkEnd w:id="69"/>
      <w:bookmarkEnd w:id="70"/>
      <w:bookmarkEnd w:id="71"/>
      <w:bookmarkEnd w:id="72"/>
    </w:p>
    <w:p w14:paraId="0BE0FB88" w14:textId="77777777" w:rsidR="000024A1" w:rsidRPr="00F54712" w:rsidRDefault="000024A1" w:rsidP="000024A1">
      <w:r w:rsidRPr="00F54712">
        <w:t>References are either specific (identified by date of publication and/or edition number or version number) or non</w:t>
      </w:r>
      <w:r w:rsidRPr="00F54712">
        <w:noBreakHyphen/>
        <w:t>specific. For specific references, only the cited version applies. For non-specific references, the latest version of the referenced document (including any amendments) applies.</w:t>
      </w:r>
    </w:p>
    <w:p w14:paraId="511E53D8" w14:textId="77777777" w:rsidR="000024A1" w:rsidRPr="00F54712" w:rsidRDefault="000024A1" w:rsidP="000024A1">
      <w:pPr>
        <w:pStyle w:val="NO"/>
      </w:pPr>
      <w:r w:rsidRPr="00F54712">
        <w:t>NOTE:</w:t>
      </w:r>
      <w:r w:rsidRPr="00F54712">
        <w:tab/>
        <w:t>While any hyperlinks included in this clause were valid at the time of publication ETSI cannot guarantee their long term validity.</w:t>
      </w:r>
    </w:p>
    <w:p w14:paraId="13836239" w14:textId="77777777" w:rsidR="00E95952" w:rsidRPr="00F54712" w:rsidRDefault="00E95952" w:rsidP="00234A51">
      <w:pPr>
        <w:keepNext/>
      </w:pPr>
      <w:r w:rsidRPr="00F54712">
        <w:rPr>
          <w:lang w:eastAsia="en-GB"/>
        </w:rPr>
        <w:t xml:space="preserve">The following referenced documents are </w:t>
      </w:r>
      <w:r w:rsidRPr="00F54712">
        <w:t>not necessary for the application of the present document but they assist the user with regard to a particular subject area.</w:t>
      </w:r>
    </w:p>
    <w:p w14:paraId="325BEA51" w14:textId="3537BD83" w:rsidR="00D83CB3" w:rsidRPr="00913ABF" w:rsidRDefault="00D83CB3" w:rsidP="00D83CB3">
      <w:pPr>
        <w:pStyle w:val="EX"/>
      </w:pPr>
      <w:r w:rsidRPr="00913ABF">
        <w:t>[i.1]</w:t>
      </w:r>
      <w:r w:rsidRPr="00913ABF">
        <w:rPr>
          <w:rFonts w:ascii="Wingdings 3" w:hAnsi="Wingdings 3"/>
        </w:rPr>
        <w:tab/>
      </w:r>
      <w:r w:rsidR="00FF509A" w:rsidRPr="006C1848">
        <w:t>ETSI TR 103 438: "User Group; User centric approach in Digital Ecosystem".</w:t>
      </w:r>
    </w:p>
    <w:p w14:paraId="0B38F574" w14:textId="7BA05CBE" w:rsidR="00234A51" w:rsidRPr="00F54712" w:rsidRDefault="00D83CB3" w:rsidP="00D83CB3">
      <w:pPr>
        <w:pStyle w:val="EX"/>
        <w:keepNext/>
        <w:rPr>
          <w:sz w:val="24"/>
        </w:rPr>
      </w:pPr>
      <w:r w:rsidRPr="00913ABF">
        <w:t>[i.2]</w:t>
      </w:r>
      <w:r w:rsidRPr="00913ABF">
        <w:rPr>
          <w:rFonts w:ascii="Wingdings 3" w:hAnsi="Wingdings 3"/>
          <w:color w:val="76923C"/>
        </w:rPr>
        <w:t></w:t>
      </w:r>
      <w:r w:rsidRPr="00913ABF">
        <w:rPr>
          <w:rFonts w:ascii="Wingdings 3" w:hAnsi="Wingdings 3"/>
          <w:color w:val="76923C"/>
        </w:rPr>
        <w:tab/>
      </w:r>
      <w:r w:rsidR="00FF509A" w:rsidRPr="00FF509A">
        <w:t>ETSI EG 203 602: "User Group; User Centric Approach: Guidance for users; Best practices to interact in the Digital Ecosystem"</w:t>
      </w:r>
      <w:r w:rsidRPr="00913ABF">
        <w:t>.</w:t>
      </w:r>
    </w:p>
    <w:p w14:paraId="232D1652" w14:textId="77777777" w:rsidR="0039719E" w:rsidRPr="002F41AB" w:rsidRDefault="0039719E" w:rsidP="0039719E">
      <w:pPr>
        <w:pStyle w:val="Titre1"/>
      </w:pPr>
      <w:bookmarkStart w:id="73" w:name="_Toc451532925"/>
      <w:bookmarkStart w:id="74" w:name="_Toc527986734"/>
      <w:bookmarkStart w:id="75" w:name="_Toc67666489"/>
      <w:bookmarkStart w:id="76" w:name="_Toc67667096"/>
      <w:bookmarkStart w:id="77" w:name="_Toc124754795"/>
      <w:r w:rsidRPr="002F41AB">
        <w:t>3</w:t>
      </w:r>
      <w:r w:rsidRPr="002F41AB">
        <w:tab/>
        <w:t>Definition</w:t>
      </w:r>
      <w:r w:rsidR="00576227">
        <w:t xml:space="preserve"> of terms</w:t>
      </w:r>
      <w:r w:rsidRPr="002F41AB">
        <w:t>, symbols and abbreviations</w:t>
      </w:r>
      <w:bookmarkEnd w:id="73"/>
      <w:bookmarkEnd w:id="74"/>
      <w:bookmarkEnd w:id="75"/>
      <w:bookmarkEnd w:id="76"/>
      <w:bookmarkEnd w:id="77"/>
    </w:p>
    <w:p w14:paraId="13BDFD97" w14:textId="77777777" w:rsidR="0039719E" w:rsidRPr="00A154F0" w:rsidRDefault="0039719E" w:rsidP="0039719E">
      <w:pPr>
        <w:pStyle w:val="Titre2"/>
      </w:pPr>
      <w:bookmarkStart w:id="78" w:name="_Toc451532926"/>
      <w:bookmarkStart w:id="79" w:name="_Toc527986735"/>
      <w:bookmarkStart w:id="80" w:name="_Toc67666490"/>
      <w:bookmarkStart w:id="81" w:name="_Toc67667097"/>
      <w:bookmarkStart w:id="82" w:name="_Toc124754796"/>
      <w:r w:rsidRPr="002F41AB">
        <w:t>3.1</w:t>
      </w:r>
      <w:r w:rsidRPr="002F41AB">
        <w:tab/>
      </w:r>
      <w:bookmarkEnd w:id="78"/>
      <w:r w:rsidR="00576227">
        <w:t>Terms</w:t>
      </w:r>
      <w:bookmarkEnd w:id="79"/>
      <w:bookmarkEnd w:id="80"/>
      <w:bookmarkEnd w:id="81"/>
      <w:bookmarkEnd w:id="82"/>
    </w:p>
    <w:p w14:paraId="7AB64D5D" w14:textId="77777777" w:rsidR="0039719E" w:rsidRDefault="0039719E" w:rsidP="0039719E">
      <w:r w:rsidRPr="00A154F0">
        <w:t>For the purposes of the present document, the [following] terms [given in ... and the following] apply:</w:t>
      </w:r>
    </w:p>
    <w:p w14:paraId="3EC2DBE0" w14:textId="77777777" w:rsidR="009A00D6" w:rsidRPr="00F54712" w:rsidRDefault="009A00D6" w:rsidP="00787554"/>
    <w:p w14:paraId="5479FA37" w14:textId="77777777" w:rsidR="00BB6418" w:rsidRPr="00F54712" w:rsidRDefault="00BB6418">
      <w:pPr>
        <w:pStyle w:val="Titre2"/>
      </w:pPr>
      <w:bookmarkStart w:id="83" w:name="_Toc451532674"/>
      <w:bookmarkStart w:id="84" w:name="_Toc487531433"/>
      <w:bookmarkStart w:id="85" w:name="_Toc527986736"/>
      <w:bookmarkStart w:id="86" w:name="_Toc67666491"/>
      <w:bookmarkStart w:id="87" w:name="_Toc67667098"/>
      <w:bookmarkStart w:id="88" w:name="_Toc124754797"/>
      <w:r w:rsidRPr="00F54712">
        <w:t>3.2</w:t>
      </w:r>
      <w:r w:rsidRPr="00F54712">
        <w:tab/>
        <w:t>Symbols</w:t>
      </w:r>
      <w:bookmarkEnd w:id="83"/>
      <w:bookmarkEnd w:id="84"/>
      <w:bookmarkEnd w:id="85"/>
      <w:bookmarkEnd w:id="86"/>
      <w:bookmarkEnd w:id="87"/>
      <w:bookmarkEnd w:id="88"/>
    </w:p>
    <w:p w14:paraId="6680E1A6" w14:textId="77777777" w:rsidR="009A00D6" w:rsidRDefault="00663363" w:rsidP="001F09A0">
      <w:r w:rsidRPr="00A154F0">
        <w:t>For the purposes of the present document, the [following] symbols [given in ... and the following] apply:</w:t>
      </w:r>
    </w:p>
    <w:p w14:paraId="795D9D0E" w14:textId="77777777" w:rsidR="00663363" w:rsidRDefault="00663363" w:rsidP="001F09A0"/>
    <w:p w14:paraId="175F16AD" w14:textId="77777777" w:rsidR="00AC7216" w:rsidRPr="00F54712" w:rsidRDefault="00AC7216" w:rsidP="00AC7216">
      <w:pPr>
        <w:pStyle w:val="Titre2"/>
      </w:pPr>
      <w:bookmarkStart w:id="89" w:name="_Toc451532675"/>
      <w:bookmarkStart w:id="90" w:name="_Toc487531434"/>
      <w:bookmarkStart w:id="91" w:name="_Toc527986737"/>
      <w:bookmarkStart w:id="92" w:name="_Toc67666492"/>
      <w:bookmarkStart w:id="93" w:name="_Toc67667099"/>
      <w:bookmarkStart w:id="94" w:name="_Toc124754798"/>
      <w:r w:rsidRPr="00F54712">
        <w:t>3.3</w:t>
      </w:r>
      <w:r w:rsidRPr="00F54712">
        <w:tab/>
        <w:t>Abbreviations</w:t>
      </w:r>
      <w:bookmarkEnd w:id="89"/>
      <w:bookmarkEnd w:id="90"/>
      <w:bookmarkEnd w:id="91"/>
      <w:bookmarkEnd w:id="92"/>
      <w:bookmarkEnd w:id="93"/>
      <w:bookmarkEnd w:id="94"/>
    </w:p>
    <w:p w14:paraId="35F5B69A" w14:textId="5586E21E" w:rsidR="00AC7216" w:rsidRDefault="00AC7216" w:rsidP="00AC7216">
      <w:pPr>
        <w:keepNext/>
      </w:pPr>
      <w:r w:rsidRPr="00F54712">
        <w:t>For the purposes of the present document, the following abbreviations apply:</w:t>
      </w:r>
    </w:p>
    <w:p w14:paraId="4FA0094B" w14:textId="77777777" w:rsidR="00187E48" w:rsidRDefault="00187E48" w:rsidP="00187E48">
      <w:r w:rsidRPr="00130DD4">
        <w:t>COVID-19</w:t>
      </w:r>
    </w:p>
    <w:p w14:paraId="49916274" w14:textId="77777777" w:rsidR="00187E48" w:rsidRDefault="00187E48" w:rsidP="00187E48">
      <w:r w:rsidRPr="00130DD4">
        <w:lastRenderedPageBreak/>
        <w:t xml:space="preserve">CRM </w:t>
      </w:r>
    </w:p>
    <w:p w14:paraId="697ADEAB" w14:textId="77777777" w:rsidR="00187E48" w:rsidRDefault="00187E48" w:rsidP="00187E48">
      <w:r w:rsidRPr="00130DD4">
        <w:t>ERP</w:t>
      </w:r>
      <w:r w:rsidRPr="00650556">
        <w:t xml:space="preserve"> </w:t>
      </w:r>
    </w:p>
    <w:p w14:paraId="29BD40DB" w14:textId="77777777" w:rsidR="00187E48" w:rsidRDefault="00187E48" w:rsidP="00187E48">
      <w:r w:rsidRPr="00130DD4">
        <w:t>HR</w:t>
      </w:r>
    </w:p>
    <w:p w14:paraId="5C6DD943" w14:textId="77777777" w:rsidR="00187E48" w:rsidRDefault="00187E48" w:rsidP="00187E48">
      <w:pPr>
        <w:rPr>
          <w:lang w:val="en-US"/>
        </w:rPr>
      </w:pPr>
      <w:r>
        <w:t>IOT</w:t>
      </w:r>
      <w:r w:rsidRPr="00650556">
        <w:rPr>
          <w:lang w:val="en-US"/>
        </w:rPr>
        <w:t xml:space="preserve"> </w:t>
      </w:r>
    </w:p>
    <w:p w14:paraId="7D34D905" w14:textId="7DBCA1EC" w:rsidR="00187E48" w:rsidRDefault="00187E48" w:rsidP="00187E48">
      <w:pPr>
        <w:rPr>
          <w:lang w:val="en-US"/>
        </w:rPr>
      </w:pPr>
      <w:r w:rsidRPr="00E81AD3">
        <w:rPr>
          <w:lang w:val="en-US"/>
        </w:rPr>
        <w:t>IT</w:t>
      </w:r>
      <w:r w:rsidRPr="00650556">
        <w:rPr>
          <w:lang w:val="en-US"/>
        </w:rPr>
        <w:t xml:space="preserve"> </w:t>
      </w:r>
    </w:p>
    <w:p w14:paraId="489CE055" w14:textId="7D049327" w:rsidR="00257D61" w:rsidRDefault="00257D61" w:rsidP="00187E48">
      <w:pPr>
        <w:rPr>
          <w:lang w:val="en-US"/>
        </w:rPr>
      </w:pPr>
      <w:r>
        <w:rPr>
          <w:lang w:val="en-US"/>
        </w:rPr>
        <w:t>REDs</w:t>
      </w:r>
    </w:p>
    <w:p w14:paraId="6F76946B" w14:textId="77777777" w:rsidR="00187E48" w:rsidRPr="00650556" w:rsidRDefault="00187E48" w:rsidP="00187E48">
      <w:pPr>
        <w:rPr>
          <w:lang w:val="en-US"/>
        </w:rPr>
      </w:pPr>
      <w:r w:rsidRPr="00E81AD3">
        <w:rPr>
          <w:lang w:val="en-US"/>
        </w:rPr>
        <w:t>SMB</w:t>
      </w:r>
    </w:p>
    <w:p w14:paraId="3328B399" w14:textId="77777777" w:rsidR="00187E48" w:rsidRDefault="00187E48" w:rsidP="00187E48">
      <w:pPr>
        <w:rPr>
          <w:lang w:val="en-US"/>
        </w:rPr>
      </w:pPr>
      <w:r>
        <w:t>UNESCO</w:t>
      </w:r>
      <w:r w:rsidRPr="00650556">
        <w:rPr>
          <w:lang w:val="en-US"/>
        </w:rPr>
        <w:t xml:space="preserve"> </w:t>
      </w:r>
    </w:p>
    <w:p w14:paraId="3B7ECF9F" w14:textId="77777777" w:rsidR="00187E48" w:rsidRDefault="00187E48" w:rsidP="00187E48">
      <w:pPr>
        <w:rPr>
          <w:lang w:val="en-US"/>
        </w:rPr>
      </w:pPr>
      <w:r w:rsidRPr="00D17B9C">
        <w:rPr>
          <w:lang w:val="en-US"/>
        </w:rPr>
        <w:t>USD</w:t>
      </w:r>
    </w:p>
    <w:p w14:paraId="7A6681B9" w14:textId="77777777" w:rsidR="00187E48" w:rsidRPr="00F54712" w:rsidRDefault="00187E48" w:rsidP="00AC7216">
      <w:pPr>
        <w:keepNext/>
      </w:pPr>
    </w:p>
    <w:p w14:paraId="2E6AFDED" w14:textId="77777777" w:rsidR="009A00D6" w:rsidRDefault="009A00D6" w:rsidP="009A00D6">
      <w:pPr>
        <w:pStyle w:val="EW"/>
      </w:pPr>
    </w:p>
    <w:p w14:paraId="303CBDBB" w14:textId="74F91509" w:rsidR="006875CA" w:rsidRDefault="00BB6418" w:rsidP="00E95952">
      <w:pPr>
        <w:pStyle w:val="Titre1"/>
      </w:pPr>
      <w:bookmarkStart w:id="95" w:name="_Toc124754799"/>
      <w:bookmarkStart w:id="96" w:name="_Toc451532676"/>
      <w:bookmarkStart w:id="97" w:name="_Toc487531435"/>
      <w:bookmarkStart w:id="98" w:name="_Toc527986738"/>
      <w:bookmarkStart w:id="99" w:name="_Toc67666493"/>
      <w:bookmarkStart w:id="100" w:name="_Toc67667100"/>
      <w:r w:rsidRPr="00F54712">
        <w:t>4</w:t>
      </w:r>
      <w:r w:rsidR="006875CA">
        <w:tab/>
        <w:t>Impact of lockdown and challenges</w:t>
      </w:r>
      <w:bookmarkEnd w:id="95"/>
      <w:r w:rsidRPr="00F54712">
        <w:tab/>
      </w:r>
      <w:bookmarkEnd w:id="96"/>
      <w:bookmarkEnd w:id="97"/>
      <w:bookmarkEnd w:id="98"/>
      <w:bookmarkEnd w:id="99"/>
      <w:bookmarkEnd w:id="100"/>
    </w:p>
    <w:p w14:paraId="599C279E" w14:textId="6139B5AF" w:rsidR="00BB6418" w:rsidRDefault="006875CA" w:rsidP="006875CA">
      <w:pPr>
        <w:pStyle w:val="Titre2"/>
      </w:pPr>
      <w:bookmarkStart w:id="101" w:name="_Toc124754800"/>
      <w:r>
        <w:t>4.0</w:t>
      </w:r>
      <w:r>
        <w:tab/>
      </w:r>
      <w:r w:rsidR="00FF509A">
        <w:t>Introduction</w:t>
      </w:r>
      <w:bookmarkEnd w:id="101"/>
    </w:p>
    <w:p w14:paraId="44A66D7A" w14:textId="77777777" w:rsidR="00FF509A" w:rsidRPr="00A63186" w:rsidRDefault="00FF509A" w:rsidP="00FF509A">
      <w:pPr>
        <w:pStyle w:val="Textbody"/>
        <w:rPr>
          <w:lang w:val="en-US"/>
        </w:rPr>
      </w:pPr>
      <w:r w:rsidRPr="00A63186">
        <w:rPr>
          <w:lang w:val="en-US"/>
        </w:rPr>
        <w:t>The</w:t>
      </w:r>
      <w:r>
        <w:rPr>
          <w:lang w:val="en-US"/>
        </w:rPr>
        <w:t xml:space="preserve"> </w:t>
      </w:r>
      <w:r w:rsidRPr="00A63186">
        <w:rPr>
          <w:lang w:val="en-US"/>
        </w:rPr>
        <w:t>COVID-19 crisis has raised a number of societal,</w:t>
      </w:r>
      <w:r>
        <w:rPr>
          <w:lang w:val="en-US"/>
        </w:rPr>
        <w:t xml:space="preserve"> </w:t>
      </w:r>
      <w:r w:rsidRPr="00A63186">
        <w:rPr>
          <w:lang w:val="en-US"/>
        </w:rPr>
        <w:t>ethical and policy challenges. Some of them are connected to increased use of digital tools in our everyday life during the confinement, mainly to continue working, for being connected to other people, being informed, for leisure, shopping, medical care.</w:t>
      </w:r>
    </w:p>
    <w:p w14:paraId="3FC2CAD2" w14:textId="6BE58B60" w:rsidR="00FF509A" w:rsidRPr="00A63186" w:rsidRDefault="00FF509A" w:rsidP="00FF509A">
      <w:pPr>
        <w:pStyle w:val="Textbody"/>
        <w:rPr>
          <w:lang w:val="en-US"/>
        </w:rPr>
      </w:pPr>
      <w:r w:rsidRPr="00A63186">
        <w:rPr>
          <w:lang w:val="en-US"/>
        </w:rPr>
        <w:t>Th</w:t>
      </w:r>
      <w:r w:rsidR="006875CA">
        <w:rPr>
          <w:lang w:val="en-US"/>
        </w:rPr>
        <w:t>is section</w:t>
      </w:r>
      <w:r w:rsidRPr="00A63186">
        <w:rPr>
          <w:lang w:val="en-US"/>
        </w:rPr>
        <w:t xml:space="preserve"> focuses on the lockdown impact on the uses of digital, the development of new services or the improvement of existing one, and the transformations induced in organizations.</w:t>
      </w:r>
    </w:p>
    <w:p w14:paraId="2EEBAA8A" w14:textId="77777777" w:rsidR="00FF509A" w:rsidRPr="00A63186" w:rsidRDefault="00FF509A" w:rsidP="00FF509A">
      <w:pPr>
        <w:pStyle w:val="Textbody"/>
        <w:rPr>
          <w:lang w:val="en-US"/>
        </w:rPr>
      </w:pPr>
      <w:r w:rsidRPr="00A63186">
        <w:rPr>
          <w:lang w:val="en-US"/>
        </w:rPr>
        <w:t>But it also looks at what is happening now when returning to a normal situation or during less strict confinement than the first one</w:t>
      </w:r>
      <w:r>
        <w:rPr>
          <w:lang w:val="en-US"/>
        </w:rPr>
        <w:t>.</w:t>
      </w:r>
    </w:p>
    <w:p w14:paraId="21FA3837" w14:textId="77777777" w:rsidR="00FF509A" w:rsidRPr="00A63186" w:rsidRDefault="00FF509A" w:rsidP="00FF509A">
      <w:pPr>
        <w:pStyle w:val="Textbody"/>
        <w:rPr>
          <w:lang w:val="en-US"/>
        </w:rPr>
      </w:pPr>
      <w:r w:rsidRPr="00A63186">
        <w:rPr>
          <w:lang w:val="en-US"/>
        </w:rPr>
        <w:t>To do this, we will successively explore different surveys or studies carried out on an international scale on the following four major themes:</w:t>
      </w:r>
    </w:p>
    <w:p w14:paraId="174B65C8" w14:textId="77777777" w:rsidR="00FF509A" w:rsidRPr="00A63186" w:rsidRDefault="00FF509A" w:rsidP="00FF509A">
      <w:pPr>
        <w:pStyle w:val="Textbody"/>
        <w:rPr>
          <w:lang w:val="en-US"/>
        </w:rPr>
      </w:pPr>
    </w:p>
    <w:p w14:paraId="428C6E4A" w14:textId="1210CDEA" w:rsidR="00FF509A" w:rsidRPr="00A63186" w:rsidRDefault="00FF509A" w:rsidP="00FF509A">
      <w:pPr>
        <w:pStyle w:val="Textbody"/>
        <w:rPr>
          <w:lang w:val="en-US"/>
        </w:rPr>
      </w:pPr>
      <w:r>
        <w:rPr>
          <w:lang w:val="en-US"/>
        </w:rPr>
        <w:t xml:space="preserve">1) </w:t>
      </w:r>
      <w:r w:rsidR="006875CA">
        <w:rPr>
          <w:lang w:val="en-US"/>
        </w:rPr>
        <w:t>W</w:t>
      </w:r>
      <w:r w:rsidRPr="00A63186">
        <w:rPr>
          <w:lang w:val="en-US"/>
        </w:rPr>
        <w:t>ork, digital work and business transformation</w:t>
      </w:r>
    </w:p>
    <w:p w14:paraId="206FF569" w14:textId="77777777" w:rsidR="00FF509A" w:rsidRPr="00A63186" w:rsidRDefault="00FF509A" w:rsidP="00FF509A">
      <w:pPr>
        <w:pStyle w:val="Textbody"/>
        <w:rPr>
          <w:lang w:val="en-US"/>
        </w:rPr>
      </w:pPr>
      <w:r>
        <w:rPr>
          <w:lang w:val="en-US"/>
        </w:rPr>
        <w:t xml:space="preserve">2) </w:t>
      </w:r>
      <w:r w:rsidRPr="00A63186">
        <w:rPr>
          <w:lang w:val="en-US"/>
        </w:rPr>
        <w:t>Commerce and e-commerce</w:t>
      </w:r>
    </w:p>
    <w:p w14:paraId="02267F89" w14:textId="245FA215" w:rsidR="00FF509A" w:rsidRPr="00A63186" w:rsidRDefault="00FF509A" w:rsidP="00FF509A">
      <w:pPr>
        <w:pStyle w:val="Textbody"/>
        <w:rPr>
          <w:lang w:val="en-US"/>
        </w:rPr>
      </w:pPr>
      <w:r>
        <w:rPr>
          <w:lang w:val="en-US"/>
        </w:rPr>
        <w:t xml:space="preserve">3) </w:t>
      </w:r>
      <w:r w:rsidR="006875CA">
        <w:rPr>
          <w:lang w:val="en-US"/>
        </w:rPr>
        <w:t>E</w:t>
      </w:r>
      <w:r w:rsidRPr="00A63186">
        <w:rPr>
          <w:lang w:val="en-US"/>
        </w:rPr>
        <w:t>ducation and e-learning</w:t>
      </w:r>
    </w:p>
    <w:p w14:paraId="19F75BB3" w14:textId="3032C2FB" w:rsidR="00FF509A" w:rsidRDefault="00FF509A" w:rsidP="00FF509A">
      <w:pPr>
        <w:pStyle w:val="Textbody"/>
        <w:rPr>
          <w:lang w:val="en-US"/>
        </w:rPr>
      </w:pPr>
      <w:r>
        <w:rPr>
          <w:lang w:val="en-US"/>
        </w:rPr>
        <w:t xml:space="preserve">4) </w:t>
      </w:r>
      <w:r w:rsidR="006875CA">
        <w:rPr>
          <w:lang w:val="en-US"/>
        </w:rPr>
        <w:t>M</w:t>
      </w:r>
      <w:r w:rsidRPr="00A63186">
        <w:rPr>
          <w:lang w:val="en-US"/>
        </w:rPr>
        <w:t>edical care and pandemic tools</w:t>
      </w:r>
    </w:p>
    <w:p w14:paraId="64F9A303" w14:textId="77777777" w:rsidR="00FF509A" w:rsidRPr="00FF509A" w:rsidRDefault="00FF509A" w:rsidP="00FF509A"/>
    <w:p w14:paraId="307F1F0B" w14:textId="140488DB" w:rsidR="00FF509A" w:rsidRPr="00A63186" w:rsidRDefault="00BB6418" w:rsidP="00FF509A">
      <w:pPr>
        <w:pStyle w:val="Titre2"/>
        <w:rPr>
          <w:lang w:val="en-US"/>
        </w:rPr>
      </w:pPr>
      <w:bookmarkStart w:id="102" w:name="_Toc451532677"/>
      <w:bookmarkStart w:id="103" w:name="_Toc487531436"/>
      <w:bookmarkStart w:id="104" w:name="_Toc527986739"/>
      <w:bookmarkStart w:id="105" w:name="_Toc67666494"/>
      <w:bookmarkStart w:id="106" w:name="_Toc67667101"/>
      <w:bookmarkStart w:id="107" w:name="_Toc124754801"/>
      <w:r w:rsidRPr="00F54712">
        <w:t>4.1</w:t>
      </w:r>
      <w:r w:rsidRPr="00F54712">
        <w:tab/>
      </w:r>
      <w:bookmarkEnd w:id="102"/>
      <w:bookmarkEnd w:id="103"/>
      <w:bookmarkEnd w:id="104"/>
      <w:bookmarkEnd w:id="105"/>
      <w:bookmarkEnd w:id="106"/>
      <w:r w:rsidR="00FF509A" w:rsidRPr="00A63186">
        <w:rPr>
          <w:lang w:val="en-US"/>
        </w:rPr>
        <w:t>Work and digital work</w:t>
      </w:r>
      <w:bookmarkEnd w:id="107"/>
    </w:p>
    <w:p w14:paraId="17D6A7DD" w14:textId="4A6AB7C7" w:rsidR="00FF509A" w:rsidRPr="00536BE9" w:rsidRDefault="00FF509A" w:rsidP="00FF509A">
      <w:pPr>
        <w:pStyle w:val="Titre3"/>
      </w:pPr>
      <w:bookmarkStart w:id="108" w:name="_Toc124754802"/>
      <w:r>
        <w:t>4.1.1</w:t>
      </w:r>
      <w:r w:rsidRPr="00536BE9">
        <w:t xml:space="preserve"> </w:t>
      </w:r>
      <w:r w:rsidR="006875CA">
        <w:t>D</w:t>
      </w:r>
      <w:r w:rsidRPr="00536BE9">
        <w:t xml:space="preserve">igital transformation / </w:t>
      </w:r>
      <w:r w:rsidR="006875CA">
        <w:t>“</w:t>
      </w:r>
      <w:r w:rsidRPr="00536BE9">
        <w:t>Tech republic</w:t>
      </w:r>
      <w:r w:rsidR="006875CA">
        <w:t>”</w:t>
      </w:r>
      <w:bookmarkEnd w:id="108"/>
    </w:p>
    <w:p w14:paraId="13F09C43" w14:textId="77777777" w:rsidR="00FF509A" w:rsidRPr="00A63186" w:rsidRDefault="00FF509A" w:rsidP="00FF509A">
      <w:pPr>
        <w:pStyle w:val="Textbody"/>
        <w:rPr>
          <w:lang w:val="en-US"/>
        </w:rPr>
      </w:pPr>
      <w:r>
        <w:rPr>
          <w:lang w:val="en-US"/>
        </w:rPr>
        <w:t>Due to the pandemic, e</w:t>
      </w:r>
      <w:r w:rsidRPr="00A63186">
        <w:rPr>
          <w:lang w:val="en-US"/>
        </w:rPr>
        <w:t>nterprises reallocate budget and resources away from digitizing paper and toward communication and collaboration tools needed for employees working remotely</w:t>
      </w:r>
    </w:p>
    <w:p w14:paraId="10A770CA" w14:textId="3783A5B7" w:rsidR="00FF509A" w:rsidRDefault="00FF509A" w:rsidP="00FF509A">
      <w:pPr>
        <w:pStyle w:val="Textbody"/>
        <w:rPr>
          <w:lang w:val="en-US"/>
        </w:rPr>
      </w:pPr>
      <w:r>
        <w:rPr>
          <w:lang w:val="en-US"/>
        </w:rPr>
        <w:t>T</w:t>
      </w:r>
      <w:r w:rsidRPr="00E81AD3">
        <w:rPr>
          <w:lang w:val="en-US"/>
        </w:rPr>
        <w:t xml:space="preserve">echRepublic Premium </w:t>
      </w:r>
      <w:r w:rsidR="006875CA">
        <w:rPr>
          <w:lang w:val="en-US"/>
        </w:rPr>
        <w:t xml:space="preserve">[B.1] </w:t>
      </w:r>
      <w:r w:rsidRPr="00E81AD3">
        <w:rPr>
          <w:lang w:val="en-US"/>
        </w:rPr>
        <w:t xml:space="preserve">wanted to find out exactly how the pandemic has led businesses to modify or shift their digital transformation objectives. It polled 110 </w:t>
      </w:r>
      <w:bookmarkStart w:id="109" w:name="_Hlk124753647"/>
      <w:r w:rsidRPr="00E81AD3">
        <w:rPr>
          <w:lang w:val="en-US"/>
        </w:rPr>
        <w:t>SMB</w:t>
      </w:r>
      <w:bookmarkEnd w:id="109"/>
      <w:r w:rsidRPr="00E81AD3">
        <w:rPr>
          <w:lang w:val="en-US"/>
        </w:rPr>
        <w:t xml:space="preserve"> decision-makers and compared the results to a similar survey conducted last year</w:t>
      </w:r>
    </w:p>
    <w:p w14:paraId="029E9C93" w14:textId="77777777" w:rsidR="00FF509A" w:rsidRPr="00E81AD3" w:rsidRDefault="00FF509A" w:rsidP="00FF509A">
      <w:pPr>
        <w:pStyle w:val="Textbody"/>
        <w:rPr>
          <w:lang w:val="en-US"/>
        </w:rPr>
      </w:pPr>
      <w:r>
        <w:rPr>
          <w:lang w:val="en-US"/>
        </w:rPr>
        <w:lastRenderedPageBreak/>
        <w:t>In 2020</w:t>
      </w:r>
      <w:r w:rsidRPr="00E81AD3">
        <w:rPr>
          <w:lang w:val="en-US"/>
        </w:rPr>
        <w:t xml:space="preserve">, 60% of respondents said that </w:t>
      </w:r>
      <w:bookmarkStart w:id="110" w:name="_Hlk124753668"/>
      <w:r w:rsidRPr="00E81AD3">
        <w:rPr>
          <w:lang w:val="en-US"/>
        </w:rPr>
        <w:t xml:space="preserve">COVID-19 </w:t>
      </w:r>
      <w:bookmarkEnd w:id="110"/>
      <w:r w:rsidRPr="00E81AD3">
        <w:rPr>
          <w:lang w:val="en-US"/>
        </w:rPr>
        <w:t>forced them to alter their digital transformation plans. That number increased to 62% this year. </w:t>
      </w:r>
    </w:p>
    <w:p w14:paraId="19E966CE" w14:textId="77777777" w:rsidR="00FF509A" w:rsidRPr="00E81AD3" w:rsidRDefault="00FF509A" w:rsidP="00FF509A">
      <w:pPr>
        <w:pStyle w:val="Textbody"/>
        <w:rPr>
          <w:lang w:val="en-US"/>
        </w:rPr>
      </w:pPr>
      <w:r w:rsidRPr="00E81AD3">
        <w:rPr>
          <w:lang w:val="en-US"/>
        </w:rPr>
        <w:t xml:space="preserve">Digital transformation priorities also changed year over year. In 2020, the majority of survey respondents (68%) focused on implementing remote digital tech that could facilitate collaboration, digital and online training (56%) and </w:t>
      </w:r>
      <w:bookmarkStart w:id="111" w:name="_Hlk124753689"/>
      <w:r w:rsidRPr="00E81AD3">
        <w:rPr>
          <w:lang w:val="en-US"/>
        </w:rPr>
        <w:t>IT</w:t>
      </w:r>
      <w:bookmarkEnd w:id="111"/>
      <w:r w:rsidRPr="00E81AD3">
        <w:rPr>
          <w:lang w:val="en-US"/>
        </w:rPr>
        <w:t xml:space="preserve"> and business process automation (39%). </w:t>
      </w:r>
    </w:p>
    <w:p w14:paraId="2A19B78B" w14:textId="77777777" w:rsidR="00FF509A" w:rsidRPr="00E81AD3" w:rsidRDefault="00FF509A" w:rsidP="00FF509A">
      <w:pPr>
        <w:pStyle w:val="Textbody"/>
        <w:rPr>
          <w:lang w:val="en-US"/>
        </w:rPr>
      </w:pPr>
      <w:r w:rsidRPr="00E81AD3">
        <w:rPr>
          <w:lang w:val="en-US"/>
        </w:rPr>
        <w:t>In 2021, however, only 32% of respondents were prioritizing collaboration technology for remote workers. Further, focusing on digital and online training decreased to 26% and IT business process automation only ranked high for 23% of respondents. Social media initiatives topped digital transformation projects for 23% of respondents last year, but that number decreased to 8% this year.</w:t>
      </w:r>
    </w:p>
    <w:p w14:paraId="37A31DA6" w14:textId="77777777" w:rsidR="00FF509A" w:rsidRDefault="00FF509A" w:rsidP="00FF509A">
      <w:pPr>
        <w:pStyle w:val="Textbody"/>
        <w:rPr>
          <w:lang w:val="en-US"/>
        </w:rPr>
      </w:pPr>
      <w:r w:rsidRPr="00E81AD3">
        <w:rPr>
          <w:lang w:val="en-US"/>
        </w:rPr>
        <w:t xml:space="preserve">By far, digital capabilities centered around collaboration tools brought the greatest benefit for 42% respondents in 2021. Cloud-based computing for systems such as </w:t>
      </w:r>
      <w:bookmarkStart w:id="112" w:name="_Hlk124753711"/>
      <w:r w:rsidRPr="00E81AD3">
        <w:rPr>
          <w:lang w:val="en-US"/>
        </w:rPr>
        <w:t xml:space="preserve">HR, CRM, ERP </w:t>
      </w:r>
      <w:bookmarkEnd w:id="112"/>
      <w:r w:rsidRPr="00E81AD3">
        <w:rPr>
          <w:lang w:val="en-US"/>
        </w:rPr>
        <w:t>and office systems benefited 17% of respondents, and 8% of respondents cited data analytics as the digital tech delivering the most benefit.</w:t>
      </w:r>
    </w:p>
    <w:p w14:paraId="07B52E18" w14:textId="77777777" w:rsidR="00FF509A" w:rsidRPr="00E81AD3" w:rsidRDefault="00FF509A" w:rsidP="00FF509A">
      <w:pPr>
        <w:pStyle w:val="Textbody"/>
        <w:rPr>
          <w:lang w:val="en-US"/>
        </w:rPr>
      </w:pPr>
      <w:r w:rsidRPr="00E81AD3">
        <w:rPr>
          <w:lang w:val="en-US"/>
        </w:rPr>
        <w:t>Not all digital technologies delivered a win. According to respondents, digital technologies such as social media (23%) and IoT devices (14%) failed to deliver. </w:t>
      </w:r>
    </w:p>
    <w:p w14:paraId="4CB5F874" w14:textId="6B66BD16" w:rsidR="00FF509A" w:rsidRPr="00E81AD3" w:rsidRDefault="00FF509A" w:rsidP="00FF509A">
      <w:pPr>
        <w:pStyle w:val="Textbody"/>
        <w:rPr>
          <w:lang w:val="en-US"/>
        </w:rPr>
      </w:pPr>
      <w:r w:rsidRPr="00E81AD3">
        <w:rPr>
          <w:lang w:val="en-US"/>
        </w:rPr>
        <w:t>Overall, more than a quarter of respondents had no complaints about their digital technologies.</w:t>
      </w:r>
    </w:p>
    <w:p w14:paraId="7C095AA5" w14:textId="77777777" w:rsidR="00FF509A" w:rsidRDefault="00FF509A" w:rsidP="00FF509A">
      <w:pPr>
        <w:pStyle w:val="Textbody"/>
        <w:rPr>
          <w:lang w:val="en-US"/>
        </w:rPr>
      </w:pPr>
      <w:r w:rsidRPr="00E81AD3">
        <w:rPr>
          <w:lang w:val="en-US"/>
        </w:rPr>
        <w:t xml:space="preserve">Budgets continue to reflect the need for increased digitalization projects. Thirty-eight percent of survey respondents reported they will spend more on digital transformation in 2022 than they did in 2021, and 31% said that the level of digital spending would remain the same as in 2021. </w:t>
      </w:r>
      <w:r w:rsidRPr="00343DB5">
        <w:rPr>
          <w:lang w:val="en-US"/>
        </w:rPr>
        <w:t>Only 7% said they will spend less than in 2021.</w:t>
      </w:r>
    </w:p>
    <w:p w14:paraId="0DE76A59" w14:textId="77777777" w:rsidR="00FF509A" w:rsidRPr="00343DB5" w:rsidRDefault="00FF509A" w:rsidP="00FF509A">
      <w:pPr>
        <w:pStyle w:val="Textbody"/>
        <w:rPr>
          <w:lang w:val="en-US"/>
        </w:rPr>
      </w:pPr>
    </w:p>
    <w:p w14:paraId="01E79C4C" w14:textId="105EF497" w:rsidR="00FF509A" w:rsidRPr="00536BE9" w:rsidRDefault="00FF509A" w:rsidP="00FF509A">
      <w:pPr>
        <w:pStyle w:val="Titre3"/>
        <w:rPr>
          <w:lang w:val="en-US"/>
        </w:rPr>
      </w:pPr>
      <w:bookmarkStart w:id="113" w:name="_Toc124754803"/>
      <w:r>
        <w:rPr>
          <w:lang w:val="en-US"/>
        </w:rPr>
        <w:t>4</w:t>
      </w:r>
      <w:r w:rsidRPr="00536BE9">
        <w:rPr>
          <w:lang w:val="en-US"/>
        </w:rPr>
        <w:t>.</w:t>
      </w:r>
      <w:r>
        <w:rPr>
          <w:lang w:val="en-US"/>
        </w:rPr>
        <w:t>1.</w:t>
      </w:r>
      <w:r w:rsidRPr="00536BE9">
        <w:rPr>
          <w:lang w:val="en-US"/>
        </w:rPr>
        <w:t>2 impact of covid 19 on the industr</w:t>
      </w:r>
      <w:r>
        <w:rPr>
          <w:lang w:val="en-US"/>
        </w:rPr>
        <w:t>y</w:t>
      </w:r>
      <w:bookmarkEnd w:id="113"/>
    </w:p>
    <w:p w14:paraId="65CD2559" w14:textId="76D43040" w:rsidR="00FF509A" w:rsidRPr="00A63186" w:rsidRDefault="002910F8" w:rsidP="00FF509A">
      <w:pPr>
        <w:pStyle w:val="Textbody"/>
        <w:rPr>
          <w:lang w:val="en-US"/>
        </w:rPr>
      </w:pPr>
      <w:r>
        <w:rPr>
          <w:lang w:val="en-US"/>
        </w:rPr>
        <w:t xml:space="preserve">[B.2] </w:t>
      </w:r>
      <w:r w:rsidR="00FF509A" w:rsidRPr="00A63186">
        <w:rPr>
          <w:lang w:val="en-US"/>
        </w:rPr>
        <w:t>Pan-European survey on the impact of COVID-19 on the digital industry</w:t>
      </w:r>
    </w:p>
    <w:p w14:paraId="0A1EB242" w14:textId="77777777" w:rsidR="00FF509A" w:rsidRDefault="00FF509A" w:rsidP="00FF509A">
      <w:pPr>
        <w:pStyle w:val="Textbody"/>
        <w:rPr>
          <w:lang w:val="en-GB"/>
        </w:rPr>
      </w:pPr>
      <w:r w:rsidRPr="00A63186">
        <w:rPr>
          <w:lang w:val="en-GB"/>
        </w:rPr>
        <w:t>DIGITALEUROPE, in collaboration with 14 national trade associations from across Europe, conducted a survey of 634 digital businesses of all sizes between 17 March and 16 April 2020.</w:t>
      </w:r>
    </w:p>
    <w:p w14:paraId="56A9492B" w14:textId="77777777" w:rsidR="00FF509A" w:rsidRPr="00A63186" w:rsidRDefault="00FF509A" w:rsidP="00FF509A">
      <w:pPr>
        <w:pStyle w:val="Textbody"/>
        <w:rPr>
          <w:lang w:val="en-US"/>
        </w:rPr>
      </w:pPr>
      <w:r>
        <w:rPr>
          <w:lang w:val="en-GB"/>
        </w:rPr>
        <w:t xml:space="preserve">This survey </w:t>
      </w:r>
    </w:p>
    <w:p w14:paraId="3768E37E" w14:textId="77777777" w:rsidR="00FF509A" w:rsidRPr="00A63186" w:rsidRDefault="00000000" w:rsidP="00FF509A">
      <w:pPr>
        <w:pStyle w:val="Textbody"/>
        <w:numPr>
          <w:ilvl w:val="0"/>
          <w:numId w:val="40"/>
        </w:numPr>
      </w:pPr>
      <w:hyperlink r:id="rId17" w:anchor="impact" w:history="1">
        <w:r w:rsidR="00FF509A" w:rsidRPr="00A63186">
          <w:rPr>
            <w:rStyle w:val="Lienhypertexte"/>
          </w:rPr>
          <w:t>Business impact of COVID-19</w:t>
        </w:r>
      </w:hyperlink>
    </w:p>
    <w:p w14:paraId="4DEC2FB1" w14:textId="77777777" w:rsidR="00FF509A" w:rsidRPr="00A63186" w:rsidRDefault="00000000" w:rsidP="00FF509A">
      <w:pPr>
        <w:pStyle w:val="Textbody"/>
        <w:numPr>
          <w:ilvl w:val="0"/>
          <w:numId w:val="40"/>
        </w:numPr>
      </w:pPr>
      <w:hyperlink r:id="rId18" w:anchor="deliveries" w:history="1">
        <w:r w:rsidR="00FF509A" w:rsidRPr="00A63186">
          <w:rPr>
            <w:rStyle w:val="Lienhypertexte"/>
          </w:rPr>
          <w:t xml:space="preserve">Impact on </w:t>
        </w:r>
        <w:proofErr w:type="spellStart"/>
        <w:r w:rsidR="00FF509A" w:rsidRPr="00A63186">
          <w:rPr>
            <w:rStyle w:val="Lienhypertexte"/>
          </w:rPr>
          <w:t>supply</w:t>
        </w:r>
        <w:proofErr w:type="spellEnd"/>
        <w:r w:rsidR="00FF509A" w:rsidRPr="00A63186">
          <w:rPr>
            <w:rStyle w:val="Lienhypertexte"/>
          </w:rPr>
          <w:t xml:space="preserve"> </w:t>
        </w:r>
        <w:proofErr w:type="spellStart"/>
        <w:r w:rsidR="00FF509A" w:rsidRPr="00A63186">
          <w:rPr>
            <w:rStyle w:val="Lienhypertexte"/>
          </w:rPr>
          <w:t>chain</w:t>
        </w:r>
        <w:proofErr w:type="spellEnd"/>
      </w:hyperlink>
    </w:p>
    <w:p w14:paraId="78EE67BF" w14:textId="77777777" w:rsidR="00FF509A" w:rsidRPr="00A63186" w:rsidRDefault="00000000" w:rsidP="00FF509A">
      <w:pPr>
        <w:pStyle w:val="Textbody"/>
        <w:numPr>
          <w:ilvl w:val="0"/>
          <w:numId w:val="40"/>
        </w:numPr>
      </w:pPr>
      <w:hyperlink r:id="rId19" w:anchor="type" w:history="1">
        <w:r w:rsidR="00FF509A" w:rsidRPr="00A63186">
          <w:rPr>
            <w:rStyle w:val="Lienhypertexte"/>
          </w:rPr>
          <w:t>Type of impacts</w:t>
        </w:r>
      </w:hyperlink>
    </w:p>
    <w:p w14:paraId="6D0F1168" w14:textId="77777777" w:rsidR="00FF509A" w:rsidRPr="00A63186" w:rsidRDefault="00000000" w:rsidP="00FF509A">
      <w:pPr>
        <w:pStyle w:val="Textbody"/>
        <w:numPr>
          <w:ilvl w:val="0"/>
          <w:numId w:val="40"/>
        </w:numPr>
        <w:rPr>
          <w:lang w:val="en-US"/>
        </w:rPr>
      </w:pPr>
      <w:hyperlink r:id="rId20" w:anchor="home" w:history="1">
        <w:r w:rsidR="00FF509A" w:rsidRPr="00A63186">
          <w:rPr>
            <w:rStyle w:val="Lienhypertexte"/>
            <w:lang w:val="en-US"/>
          </w:rPr>
          <w:t>% of employees that can work from home</w:t>
        </w:r>
      </w:hyperlink>
    </w:p>
    <w:p w14:paraId="761BA8E8" w14:textId="77777777" w:rsidR="00FF509A" w:rsidRPr="00A63186" w:rsidRDefault="00000000" w:rsidP="00FF509A">
      <w:pPr>
        <w:pStyle w:val="Textbody"/>
        <w:numPr>
          <w:ilvl w:val="0"/>
          <w:numId w:val="40"/>
        </w:numPr>
        <w:rPr>
          <w:lang w:val="en-US"/>
        </w:rPr>
      </w:pPr>
      <w:hyperlink r:id="rId21" w:anchor="measures" w:history="1">
        <w:r w:rsidR="00FF509A" w:rsidRPr="00A63186">
          <w:rPr>
            <w:rStyle w:val="Lienhypertexte"/>
            <w:lang w:val="en-US"/>
          </w:rPr>
          <w:t>Measures taken by the digital industry</w:t>
        </w:r>
      </w:hyperlink>
    </w:p>
    <w:p w14:paraId="1E2BBC4D" w14:textId="77777777" w:rsidR="00FF509A" w:rsidRDefault="00FF509A" w:rsidP="00FF509A">
      <w:pPr>
        <w:pStyle w:val="Textbody"/>
        <w:rPr>
          <w:lang w:val="en-US"/>
        </w:rPr>
      </w:pPr>
    </w:p>
    <w:p w14:paraId="0EE39EBB" w14:textId="3B866EBD" w:rsidR="00FF509A" w:rsidRDefault="00FF509A" w:rsidP="00FF509A">
      <w:pPr>
        <w:pStyle w:val="Titre2"/>
        <w:rPr>
          <w:lang w:val="en-US"/>
        </w:rPr>
      </w:pPr>
      <w:bookmarkStart w:id="114" w:name="_Toc124754804"/>
      <w:r>
        <w:rPr>
          <w:lang w:val="en-US"/>
        </w:rPr>
        <w:t>4.2. commerce and e-commerce</w:t>
      </w:r>
      <w:bookmarkEnd w:id="114"/>
    </w:p>
    <w:p w14:paraId="4D4D2DB8" w14:textId="73F34A01" w:rsidR="00FF509A" w:rsidRPr="00B06582" w:rsidRDefault="00FF509A" w:rsidP="00FF509A">
      <w:pPr>
        <w:pStyle w:val="Titre3"/>
        <w:rPr>
          <w:lang w:val="en-US"/>
        </w:rPr>
      </w:pPr>
      <w:bookmarkStart w:id="115" w:name="_Toc124754805"/>
      <w:r>
        <w:rPr>
          <w:lang w:val="en-US"/>
        </w:rPr>
        <w:t>4.</w:t>
      </w:r>
      <w:r w:rsidRPr="00536BE9">
        <w:rPr>
          <w:lang w:val="en-US"/>
        </w:rPr>
        <w:t xml:space="preserve">2.1 </w:t>
      </w:r>
      <w:r w:rsidR="00257D61">
        <w:rPr>
          <w:lang w:val="en-US"/>
        </w:rPr>
        <w:t>I</w:t>
      </w:r>
      <w:r>
        <w:rPr>
          <w:lang w:val="en-US"/>
        </w:rPr>
        <w:t xml:space="preserve">mpact of coronavirus 19 on </w:t>
      </w:r>
      <w:r w:rsidRPr="00536BE9">
        <w:rPr>
          <w:lang w:val="en-US"/>
        </w:rPr>
        <w:t xml:space="preserve">e-commerce </w:t>
      </w:r>
      <w:proofErr w:type="spellStart"/>
      <w:r w:rsidRPr="00536BE9">
        <w:rPr>
          <w:lang w:val="en-US"/>
        </w:rPr>
        <w:t>europe</w:t>
      </w:r>
      <w:proofErr w:type="spellEnd"/>
      <w:r w:rsidRPr="00536BE9">
        <w:rPr>
          <w:lang w:val="en-US"/>
        </w:rPr>
        <w:t xml:space="preserve"> </w:t>
      </w:r>
      <w:r>
        <w:rPr>
          <w:lang w:val="en-US"/>
        </w:rPr>
        <w:t xml:space="preserve">/ </w:t>
      </w:r>
      <w:r w:rsidRPr="00536BE9">
        <w:rPr>
          <w:lang w:val="en-US"/>
        </w:rPr>
        <w:t>survey -</w:t>
      </w:r>
      <w:r w:rsidRPr="00B06582">
        <w:rPr>
          <w:lang w:val="en-US"/>
        </w:rPr>
        <w:t xml:space="preserve"> </w:t>
      </w:r>
      <w:proofErr w:type="spellStart"/>
      <w:r w:rsidRPr="00536BE9">
        <w:rPr>
          <w:lang w:val="en-US"/>
        </w:rPr>
        <w:t>january</w:t>
      </w:r>
      <w:proofErr w:type="spellEnd"/>
      <w:r w:rsidRPr="00536BE9">
        <w:rPr>
          <w:lang w:val="en-US"/>
        </w:rPr>
        <w:t xml:space="preserve"> 2021</w:t>
      </w:r>
      <w:bookmarkEnd w:id="115"/>
    </w:p>
    <w:p w14:paraId="24DFD81E" w14:textId="77777777" w:rsidR="00FF509A" w:rsidRPr="00536BE9" w:rsidRDefault="00FF509A" w:rsidP="00FF509A">
      <w:pPr>
        <w:pStyle w:val="Textbody"/>
        <w:rPr>
          <w:lang w:val="en-US"/>
        </w:rPr>
      </w:pPr>
      <w:r w:rsidRPr="00536BE9">
        <w:rPr>
          <w:b/>
          <w:bCs/>
          <w:lang w:val="en-US"/>
        </w:rPr>
        <w:t xml:space="preserve"> </w:t>
      </w:r>
      <w:r w:rsidRPr="00536BE9">
        <w:rPr>
          <w:lang w:val="en-US"/>
        </w:rPr>
        <w:t xml:space="preserve">The survey was addressed to Ecommerce Europe’s national association members and counts a total of 19 contributions1, highlighting the current situation in different European countries. </w:t>
      </w:r>
    </w:p>
    <w:p w14:paraId="3A72BC6F" w14:textId="77777777" w:rsidR="00FF509A" w:rsidRPr="00536BE9" w:rsidRDefault="00FF509A" w:rsidP="00FF509A">
      <w:pPr>
        <w:pStyle w:val="Textbody"/>
        <w:rPr>
          <w:i/>
          <w:iCs/>
          <w:lang w:val="en-US"/>
        </w:rPr>
      </w:pPr>
      <w:r w:rsidRPr="00536BE9">
        <w:rPr>
          <w:i/>
          <w:iCs/>
          <w:lang w:val="en-US"/>
        </w:rPr>
        <w:t xml:space="preserve">The impact of the closure of brick-and- mortar shops on online sales </w:t>
      </w:r>
    </w:p>
    <w:p w14:paraId="5EB3B761" w14:textId="77777777" w:rsidR="00FF509A" w:rsidRPr="00536BE9" w:rsidRDefault="00FF509A" w:rsidP="00FF509A">
      <w:pPr>
        <w:pStyle w:val="Textbody"/>
        <w:rPr>
          <w:lang w:val="en-US"/>
        </w:rPr>
      </w:pPr>
      <w:r w:rsidRPr="00536BE9">
        <w:rPr>
          <w:lang w:val="en-US"/>
        </w:rPr>
        <w:t xml:space="preserve">The majority of the respondents state that the closure of brick-and-mortar shops had a positive impact on online sales or at least has resulted in some increase in sales. Some contributions state </w:t>
      </w:r>
      <w:r w:rsidRPr="00536BE9">
        <w:rPr>
          <w:lang w:val="en-US"/>
        </w:rPr>
        <w:lastRenderedPageBreak/>
        <w:t xml:space="preserve">that the increase in online sales was even higher for traditional retailers which also operate online, as opposed to pure players2, yet both categories experienced a strong growth in online sales. Respondents elaborate that events such as Black Friday and the Christmas shopping period had a strong and positive impact on online sales, due to the restrictions on traditional retail, with the clarification that some e-commerce subcategories such as products fared better than others (i.e. services). </w:t>
      </w:r>
    </w:p>
    <w:p w14:paraId="2F8EE1E6" w14:textId="77777777" w:rsidR="00FF509A" w:rsidRPr="00536BE9" w:rsidRDefault="00FF509A" w:rsidP="00FF509A">
      <w:pPr>
        <w:pStyle w:val="Textbody"/>
        <w:rPr>
          <w:i/>
          <w:iCs/>
          <w:lang w:val="en-US"/>
        </w:rPr>
      </w:pPr>
      <w:r w:rsidRPr="00536BE9">
        <w:rPr>
          <w:i/>
          <w:iCs/>
          <w:lang w:val="en-US"/>
        </w:rPr>
        <w:t xml:space="preserve">The impact of COVID-19 on the perception of e-commerce per country </w:t>
      </w:r>
    </w:p>
    <w:p w14:paraId="177D1058" w14:textId="77777777" w:rsidR="00FF509A" w:rsidRDefault="00FF509A" w:rsidP="00FF509A">
      <w:pPr>
        <w:pStyle w:val="Textbody"/>
        <w:rPr>
          <w:lang w:val="en-US"/>
        </w:rPr>
      </w:pPr>
      <w:r w:rsidRPr="00536BE9">
        <w:rPr>
          <w:lang w:val="en-US"/>
        </w:rPr>
        <w:t xml:space="preserve">In terms of the perception of e-commerce during the COVID-19 crisis, all respondents report a positive public perception for the sector, including a positive political perception for most of the contributions. However, France, Belgium, Austria and Spain report a mainly negative focus on large e-commerce players. Additionally, Italy elaborates that part of the public has raised objections in </w:t>
      </w:r>
      <w:proofErr w:type="spellStart"/>
      <w:r w:rsidRPr="00536BE9">
        <w:rPr>
          <w:lang w:val="en-US"/>
        </w:rPr>
        <w:t>defence</w:t>
      </w:r>
      <w:proofErr w:type="spellEnd"/>
      <w:r w:rsidRPr="00536BE9">
        <w:rPr>
          <w:lang w:val="en-US"/>
        </w:rPr>
        <w:t xml:space="preserve"> of </w:t>
      </w:r>
      <w:proofErr w:type="spellStart"/>
      <w:r w:rsidRPr="00536BE9">
        <w:rPr>
          <w:lang w:val="en-US"/>
        </w:rPr>
        <w:t>neighbourhood</w:t>
      </w:r>
      <w:proofErr w:type="spellEnd"/>
      <w:r w:rsidRPr="00536BE9">
        <w:rPr>
          <w:lang w:val="en-US"/>
        </w:rPr>
        <w:t xml:space="preserve"> shops and against online shops, a sentiment voiced also by Denmark. Nevertheless, other countries reported successful experiences of brick-and-mortar </w:t>
      </w:r>
      <w:proofErr w:type="spellStart"/>
      <w:r w:rsidRPr="00536BE9">
        <w:rPr>
          <w:lang w:val="en-US"/>
        </w:rPr>
        <w:t>neighbourhood</w:t>
      </w:r>
      <w:proofErr w:type="spellEnd"/>
      <w:r w:rsidRPr="00536BE9">
        <w:rPr>
          <w:lang w:val="en-US"/>
        </w:rPr>
        <w:t xml:space="preserve"> shops that moved online to continue to sell to their consumers. For instance, in France, the crisis has highlighted the consumers’ expectation to have local shops offering the possibility of online shopping, with a preference for home delivery. This expectation, which has been present since the start of the confinement and beyond, clearly shows the interest of shoppers for an omnichannel offer available from major players in online sales and which is now expected also from their local, </w:t>
      </w:r>
      <w:proofErr w:type="spellStart"/>
      <w:r w:rsidRPr="00536BE9">
        <w:rPr>
          <w:lang w:val="en-US"/>
        </w:rPr>
        <w:t>neighbourhood</w:t>
      </w:r>
      <w:proofErr w:type="spellEnd"/>
      <w:r w:rsidRPr="00536BE9">
        <w:rPr>
          <w:lang w:val="en-US"/>
        </w:rPr>
        <w:t xml:space="preserve"> merchants. </w:t>
      </w:r>
    </w:p>
    <w:p w14:paraId="33E8C700" w14:textId="77777777" w:rsidR="00FF509A" w:rsidRPr="005374EA" w:rsidRDefault="00FF509A" w:rsidP="00FF509A">
      <w:pPr>
        <w:pStyle w:val="NormalWeb"/>
        <w:shd w:val="clear" w:color="auto" w:fill="FFFFFF"/>
        <w:rPr>
          <w:i/>
          <w:iCs/>
          <w:lang w:val="en-US"/>
        </w:rPr>
      </w:pPr>
      <w:r w:rsidRPr="005374EA">
        <w:rPr>
          <w:i/>
          <w:iCs/>
          <w:lang w:val="en-US"/>
        </w:rPr>
        <w:t xml:space="preserve">E-commerce growth: estimation 2020 </w:t>
      </w:r>
    </w:p>
    <w:p w14:paraId="04272C56" w14:textId="77777777" w:rsidR="00FF509A" w:rsidRPr="005374EA" w:rsidRDefault="00FF509A" w:rsidP="00FF509A">
      <w:pPr>
        <w:pStyle w:val="NormalWeb"/>
        <w:shd w:val="clear" w:color="auto" w:fill="FFFFFF"/>
        <w:rPr>
          <w:lang w:val="en-US"/>
        </w:rPr>
      </w:pPr>
      <w:r w:rsidRPr="005374EA">
        <w:rPr>
          <w:lang w:val="en-US"/>
        </w:rPr>
        <w:t xml:space="preserve">Looking at the changes in product sales online in 2020, all respondents note positive growth, ranging between 5-10% in Poland to 60-75% in Finland. The development in online sales of services, however, is not as positive, with 6 respondents (Norway, Austria, Bulgaria, France, the Netherlands and Italy) reporting decreases compared to 2019, with Norway noting a decrease in the online sale of services as large as 60% compared to 2019. Combining the developments in online sales of products and services for 2020, most of the respondents estimate a growth in e-commerce sales between 44% in Ireland and 4% in the Netherlands. However, Italy and Norway report an overall decrease of respectively 20% and 3% compared to 2019, as a result of the overwhelming decrease of the online sales of services. Therefore, while the e-commerce sector in Europe can demonstrate overall growth in 2020, this trend is not universal and depends on the diverging demand for goods and services during the pandemic. The prognosis of all respondents for the development of the e-commerce sector in 2021 is positive, with 11 respondents feeling “very confident” and 8 “rather confident” about the sector’s growth in the upcoming year </w:t>
      </w:r>
    </w:p>
    <w:p w14:paraId="61128D8F" w14:textId="77777777" w:rsidR="00FF509A" w:rsidRDefault="00FF509A" w:rsidP="00FF509A">
      <w:pPr>
        <w:pStyle w:val="Titre3"/>
        <w:rPr>
          <w:lang w:val="en-US"/>
        </w:rPr>
      </w:pPr>
      <w:bookmarkStart w:id="116" w:name="_Toc124754806"/>
      <w:r>
        <w:rPr>
          <w:lang w:val="en-US"/>
        </w:rPr>
        <w:t>4.</w:t>
      </w:r>
      <w:r w:rsidRPr="00D17B9C">
        <w:rPr>
          <w:lang w:val="en-US"/>
        </w:rPr>
        <w:t>2.2 E-commerce and COVID-19</w:t>
      </w:r>
      <w:bookmarkEnd w:id="116"/>
      <w:r w:rsidRPr="00D17B9C">
        <w:rPr>
          <w:lang w:val="en-US"/>
        </w:rPr>
        <w:t xml:space="preserve"> </w:t>
      </w:r>
    </w:p>
    <w:p w14:paraId="6DDC90D8" w14:textId="31FBD55E" w:rsidR="00FF509A" w:rsidRPr="00D17B9C" w:rsidRDefault="002910F8" w:rsidP="00FF509A">
      <w:pPr>
        <w:pStyle w:val="Textbody"/>
        <w:rPr>
          <w:lang w:val="en-US"/>
        </w:rPr>
      </w:pPr>
      <w:r>
        <w:rPr>
          <w:lang w:val="en-US"/>
        </w:rPr>
        <w:t>[B.3]</w:t>
      </w:r>
    </w:p>
    <w:p w14:paraId="41AD91C0" w14:textId="77777777" w:rsidR="00FF509A" w:rsidRPr="00D17B9C" w:rsidRDefault="00FF509A" w:rsidP="00FF509A">
      <w:pPr>
        <w:pStyle w:val="Textbody"/>
        <w:rPr>
          <w:lang w:val="en-US"/>
        </w:rPr>
      </w:pPr>
      <w:r w:rsidRPr="00D17B9C">
        <w:rPr>
          <w:lang w:val="en-US"/>
        </w:rPr>
        <w:t xml:space="preserve">Coronavirus impact the whole e-commerce business of the world. E-commerce has experienced rapid growth since its humble beginnings with e-commerce sales projected to grow to 5 double 9.2 million </w:t>
      </w:r>
      <w:bookmarkStart w:id="117" w:name="_Hlk124753922"/>
      <w:r w:rsidRPr="00D17B9C">
        <w:rPr>
          <w:lang w:val="en-US"/>
        </w:rPr>
        <w:t>USD</w:t>
      </w:r>
      <w:bookmarkEnd w:id="117"/>
      <w:r w:rsidRPr="00D17B9C">
        <w:rPr>
          <w:lang w:val="en-US"/>
        </w:rPr>
        <w:t xml:space="preserve"> by 2024. Do to COVID-19 sales spike 25% in March 2020 alone and we can see the status of retail websites during cobbled in the following table. </w:t>
      </w:r>
    </w:p>
    <w:p w14:paraId="3ABD4027" w14:textId="77777777" w:rsidR="00FF509A" w:rsidRPr="00D17B9C" w:rsidRDefault="00FF509A" w:rsidP="00FF509A">
      <w:pPr>
        <w:pStyle w:val="Textbody"/>
        <w:rPr>
          <w:lang w:val="en-US"/>
        </w:rPr>
      </w:pPr>
      <w:r w:rsidRPr="00D17B9C">
        <w:rPr>
          <w:lang w:val="en-US"/>
        </w:rPr>
        <w:t xml:space="preserve">Top Retail e-Commerce Websites in COVID-19 Pandemic </w:t>
      </w:r>
    </w:p>
    <w:p w14:paraId="0952E400" w14:textId="77777777" w:rsidR="00FF509A" w:rsidRDefault="00FF509A" w:rsidP="00FF509A">
      <w:pPr>
        <w:autoSpaceDN/>
        <w:textAlignment w:val="auto"/>
        <w:rPr>
          <w:rFonts w:ascii="Arial,Bold" w:hAnsi="Arial,Bold"/>
          <w:sz w:val="18"/>
          <w:szCs w:val="18"/>
          <w:lang w:val="en-US" w:eastAsia="fr-FR"/>
        </w:rPr>
      </w:pPr>
      <w:r w:rsidRPr="005374EA">
        <w:rPr>
          <w:rFonts w:ascii="Arial,Bold" w:hAnsi="Arial,Bold"/>
          <w:noProof/>
          <w:sz w:val="18"/>
          <w:szCs w:val="18"/>
          <w:lang w:val="en-US" w:eastAsia="fr-FR"/>
        </w:rPr>
        <w:lastRenderedPageBreak/>
        <w:drawing>
          <wp:inline distT="0" distB="0" distL="0" distR="0" wp14:anchorId="7868E02B" wp14:editId="6A6CBEA4">
            <wp:extent cx="6120130" cy="2733675"/>
            <wp:effectExtent l="0" t="0" r="127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22"/>
                    <a:stretch>
                      <a:fillRect/>
                    </a:stretch>
                  </pic:blipFill>
                  <pic:spPr>
                    <a:xfrm>
                      <a:off x="0" y="0"/>
                      <a:ext cx="6120130" cy="2733675"/>
                    </a:xfrm>
                    <a:prstGeom prst="rect">
                      <a:avLst/>
                    </a:prstGeom>
                  </pic:spPr>
                </pic:pic>
              </a:graphicData>
            </a:graphic>
          </wp:inline>
        </w:drawing>
      </w:r>
    </w:p>
    <w:p w14:paraId="4C018095" w14:textId="77777777" w:rsidR="00FF509A" w:rsidRDefault="00FF509A" w:rsidP="00FF509A">
      <w:pPr>
        <w:autoSpaceDN/>
        <w:textAlignment w:val="auto"/>
        <w:rPr>
          <w:rFonts w:ascii="Arial,Bold" w:hAnsi="Arial,Bold"/>
          <w:sz w:val="18"/>
          <w:szCs w:val="18"/>
          <w:lang w:val="en-US" w:eastAsia="fr-FR"/>
        </w:rPr>
      </w:pPr>
    </w:p>
    <w:p w14:paraId="70AEB0E3" w14:textId="0C6DE08B" w:rsidR="00FF509A" w:rsidRPr="005374EA" w:rsidRDefault="002910F8" w:rsidP="00FF509A">
      <w:pPr>
        <w:autoSpaceDN/>
        <w:textAlignment w:val="auto"/>
        <w:rPr>
          <w:lang w:val="en-US" w:eastAsia="fr-FR"/>
        </w:rPr>
      </w:pPr>
      <w:r>
        <w:rPr>
          <w:lang w:val="en-US" w:eastAsia="fr-FR"/>
        </w:rPr>
        <w:t xml:space="preserve">Source [B.4] </w:t>
      </w:r>
    </w:p>
    <w:p w14:paraId="78C4EFB8" w14:textId="77777777" w:rsidR="00FF509A" w:rsidRPr="005374EA" w:rsidRDefault="00FF509A" w:rsidP="00FF509A">
      <w:pPr>
        <w:autoSpaceDN/>
        <w:textAlignment w:val="auto"/>
        <w:rPr>
          <w:i/>
          <w:iCs/>
          <w:lang w:val="en-US" w:eastAsia="fr-FR"/>
        </w:rPr>
      </w:pPr>
      <w:r w:rsidRPr="005374EA">
        <w:rPr>
          <w:i/>
          <w:iCs/>
          <w:lang w:val="en-US" w:eastAsia="fr-FR"/>
        </w:rPr>
        <w:t xml:space="preserve">Positive Impact of COVID-19 on e-Commerce </w:t>
      </w:r>
    </w:p>
    <w:p w14:paraId="362D5E68" w14:textId="77777777" w:rsidR="00FF509A" w:rsidRPr="005374EA" w:rsidRDefault="00FF509A" w:rsidP="00FF509A">
      <w:pPr>
        <w:numPr>
          <w:ilvl w:val="0"/>
          <w:numId w:val="41"/>
        </w:numPr>
        <w:overflowPunct/>
        <w:autoSpaceDE/>
        <w:autoSpaceDN/>
        <w:adjustRightInd/>
        <w:spacing w:after="0"/>
        <w:textAlignment w:val="auto"/>
        <w:rPr>
          <w:lang w:val="en-US" w:eastAsia="fr-FR"/>
        </w:rPr>
      </w:pPr>
      <w:r w:rsidRPr="005374EA">
        <w:rPr>
          <w:lang w:eastAsia="fr-FR"/>
        </w:rPr>
        <w:sym w:font="Symbol" w:char="F0B7"/>
      </w:r>
      <w:r w:rsidRPr="005374EA">
        <w:rPr>
          <w:lang w:val="en-US" w:eastAsia="fr-FR"/>
        </w:rPr>
        <w:t xml:space="preserve">  Wide Product Variety: The usage of E Commerce has been increasing rapidly for the past 20 years. In the global marketplace with an almost endless choice of brands and products to choose from, consumers are not limited by the availability of specific products in their local town, city or country. The width and depth of product sold through online traffic are unbeatable. </w:t>
      </w:r>
    </w:p>
    <w:p w14:paraId="058B794D" w14:textId="77777777" w:rsidR="00FF509A" w:rsidRPr="005374EA" w:rsidRDefault="00FF509A" w:rsidP="00FF509A">
      <w:pPr>
        <w:numPr>
          <w:ilvl w:val="0"/>
          <w:numId w:val="41"/>
        </w:numPr>
        <w:overflowPunct/>
        <w:autoSpaceDE/>
        <w:autoSpaceDN/>
        <w:adjustRightInd/>
        <w:spacing w:after="0"/>
        <w:textAlignment w:val="auto"/>
        <w:rPr>
          <w:lang w:val="en-US" w:eastAsia="fr-FR"/>
        </w:rPr>
      </w:pPr>
      <w:r w:rsidRPr="005374EA">
        <w:rPr>
          <w:lang w:eastAsia="fr-FR"/>
        </w:rPr>
        <w:sym w:font="Symbol" w:char="F0B7"/>
      </w:r>
      <w:r w:rsidRPr="005374EA">
        <w:rPr>
          <w:lang w:val="en-US" w:eastAsia="fr-FR"/>
        </w:rPr>
        <w:t xml:space="preserve">  Lower Prices: This is one of the biggest e-commerce advantage. Online prices are typically lower than traditional store prices as less staff is required to manage an online shop that unable owners to automate inventory management. E Commerce sites are able to offer more discounts that are easier to claim. </w:t>
      </w:r>
    </w:p>
    <w:p w14:paraId="52B93751" w14:textId="77777777" w:rsidR="00FF509A" w:rsidRPr="005374EA" w:rsidRDefault="00FF509A" w:rsidP="00FF509A">
      <w:pPr>
        <w:numPr>
          <w:ilvl w:val="0"/>
          <w:numId w:val="41"/>
        </w:numPr>
        <w:overflowPunct/>
        <w:autoSpaceDE/>
        <w:autoSpaceDN/>
        <w:adjustRightInd/>
        <w:spacing w:after="0"/>
        <w:textAlignment w:val="auto"/>
        <w:rPr>
          <w:lang w:val="en-US" w:eastAsia="fr-FR"/>
        </w:rPr>
      </w:pPr>
      <w:r w:rsidRPr="005374EA">
        <w:rPr>
          <w:lang w:eastAsia="fr-FR"/>
        </w:rPr>
        <w:sym w:font="Symbol" w:char="F0B7"/>
      </w:r>
      <w:r w:rsidRPr="005374EA">
        <w:rPr>
          <w:lang w:val="en-US" w:eastAsia="fr-FR"/>
        </w:rPr>
        <w:t xml:space="preserve">  Convenient and Safe: online shopping is extremely more convenient and gives more control to consumers. In this COVID-19 pandemic people can do shopping from their bedroom, without heaping out, wait in lines and all challenges that go along with consumerism. </w:t>
      </w:r>
    </w:p>
    <w:p w14:paraId="268C0F0B" w14:textId="77777777" w:rsidR="00FF509A" w:rsidRPr="005374EA" w:rsidRDefault="00FF509A" w:rsidP="00FF509A">
      <w:pPr>
        <w:numPr>
          <w:ilvl w:val="0"/>
          <w:numId w:val="41"/>
        </w:numPr>
        <w:overflowPunct/>
        <w:autoSpaceDE/>
        <w:autoSpaceDN/>
        <w:adjustRightInd/>
        <w:spacing w:after="0"/>
        <w:textAlignment w:val="auto"/>
        <w:rPr>
          <w:lang w:val="en-US" w:eastAsia="fr-FR"/>
        </w:rPr>
      </w:pPr>
      <w:r w:rsidRPr="005374EA">
        <w:rPr>
          <w:lang w:eastAsia="fr-FR"/>
        </w:rPr>
        <w:sym w:font="Symbol" w:char="F0B7"/>
      </w:r>
      <w:r w:rsidRPr="005374EA">
        <w:rPr>
          <w:lang w:val="en-US" w:eastAsia="fr-FR"/>
        </w:rPr>
        <w:t xml:space="preserve">  Accessibility: consumers can assess E Commerce services 24 hours a day. They can place order, browse products and avail online services whenever they wish just by a touch of a button. Even people living in remote areas can easily do shopping from their home. </w:t>
      </w:r>
    </w:p>
    <w:p w14:paraId="6629F30F" w14:textId="77777777" w:rsidR="00FF509A" w:rsidRPr="005374EA" w:rsidRDefault="00FF509A" w:rsidP="00FF509A">
      <w:pPr>
        <w:numPr>
          <w:ilvl w:val="0"/>
          <w:numId w:val="41"/>
        </w:numPr>
        <w:overflowPunct/>
        <w:autoSpaceDE/>
        <w:autoSpaceDN/>
        <w:adjustRightInd/>
        <w:spacing w:after="0"/>
        <w:textAlignment w:val="auto"/>
        <w:rPr>
          <w:lang w:val="en-US" w:eastAsia="fr-FR"/>
        </w:rPr>
      </w:pPr>
      <w:r w:rsidRPr="005374EA">
        <w:rPr>
          <w:lang w:eastAsia="fr-FR"/>
        </w:rPr>
        <w:sym w:font="Symbol" w:char="F0B7"/>
      </w:r>
      <w:r w:rsidRPr="005374EA">
        <w:rPr>
          <w:lang w:val="en-US" w:eastAsia="fr-FR"/>
        </w:rPr>
        <w:t xml:space="preserve">  Saves Time: 63% of consumers start their shopping journey online. As it provides massive time savings to the consumers in this busy life. No need to shop in stores, wait in lines and then come back home as you can buy product range at lower prices from the comfort of home. </w:t>
      </w:r>
    </w:p>
    <w:p w14:paraId="454C2536" w14:textId="77777777" w:rsidR="002910F8" w:rsidRDefault="002910F8" w:rsidP="00FF509A">
      <w:pPr>
        <w:autoSpaceDN/>
        <w:textAlignment w:val="auto"/>
        <w:rPr>
          <w:i/>
          <w:iCs/>
          <w:lang w:val="en-US" w:eastAsia="fr-FR"/>
        </w:rPr>
      </w:pPr>
    </w:p>
    <w:p w14:paraId="725E6D06" w14:textId="5D69F796" w:rsidR="00FF509A" w:rsidRPr="005374EA" w:rsidRDefault="00FF509A" w:rsidP="00FF509A">
      <w:pPr>
        <w:autoSpaceDN/>
        <w:textAlignment w:val="auto"/>
        <w:rPr>
          <w:i/>
          <w:iCs/>
          <w:lang w:val="en-US" w:eastAsia="fr-FR"/>
        </w:rPr>
      </w:pPr>
      <w:r w:rsidRPr="005374EA">
        <w:rPr>
          <w:i/>
          <w:iCs/>
          <w:lang w:val="en-US" w:eastAsia="fr-FR"/>
        </w:rPr>
        <w:t xml:space="preserve">Negative Impact of COVID-19 on e-Commerce </w:t>
      </w:r>
    </w:p>
    <w:p w14:paraId="2B897292" w14:textId="77777777" w:rsidR="00FF509A" w:rsidRPr="005374EA" w:rsidRDefault="00FF509A" w:rsidP="00FF509A">
      <w:pPr>
        <w:autoSpaceDN/>
        <w:textAlignment w:val="auto"/>
        <w:rPr>
          <w:lang w:val="en-US" w:eastAsia="fr-FR"/>
        </w:rPr>
      </w:pPr>
      <w:r w:rsidRPr="005374EA">
        <w:rPr>
          <w:lang w:eastAsia="fr-FR"/>
        </w:rPr>
        <w:sym w:font="Symbol" w:char="F0B7"/>
      </w:r>
      <w:r w:rsidRPr="005374EA">
        <w:rPr>
          <w:lang w:val="en-US" w:eastAsia="fr-FR"/>
        </w:rPr>
        <w:t xml:space="preserve"> 6%: ecommerce revenue decreased during lockdown </w:t>
      </w:r>
    </w:p>
    <w:p w14:paraId="52FD1A63" w14:textId="77777777" w:rsidR="00FF509A" w:rsidRPr="005374EA" w:rsidRDefault="00FF509A" w:rsidP="00FF509A">
      <w:pPr>
        <w:autoSpaceDN/>
        <w:textAlignment w:val="auto"/>
        <w:rPr>
          <w:lang w:val="en-US" w:eastAsia="fr-FR"/>
        </w:rPr>
      </w:pPr>
      <w:r w:rsidRPr="005374EA">
        <w:rPr>
          <w:lang w:val="en-US" w:eastAsia="fr-FR"/>
        </w:rPr>
        <w:t xml:space="preserve">Of course, there were questions about Covid-19. It seems that most ecommerce companies saw their online revenue increase during the global lockdown in the spring of 2020. According to the survey, 90% of companies saw their online sales increase at least a bit, with 50 percent of respondents claiming it grew by over 100 percent. But still, 6 percent say their ecommerce revenue decreased during the lockdown. </w:t>
      </w:r>
    </w:p>
    <w:p w14:paraId="52EA2F84" w14:textId="77777777" w:rsidR="00FF509A" w:rsidRPr="005374EA" w:rsidRDefault="00FF509A" w:rsidP="00FF509A">
      <w:pPr>
        <w:autoSpaceDN/>
        <w:textAlignment w:val="auto"/>
        <w:rPr>
          <w:lang w:val="en-US" w:eastAsia="fr-FR"/>
        </w:rPr>
      </w:pPr>
      <w:r w:rsidRPr="005374EA">
        <w:rPr>
          <w:lang w:val="en-US" w:eastAsia="fr-FR"/>
        </w:rPr>
        <w:t xml:space="preserve">After the lockdown was over, many consumers started shopping at brick-and-mortar retailers again. Still, 86 percent of respondents say their online revenues increased and only 4 percent say it decreased. </w:t>
      </w:r>
    </w:p>
    <w:p w14:paraId="7D2DB5D6" w14:textId="77777777" w:rsidR="00FF509A" w:rsidRPr="005374EA" w:rsidRDefault="00FF509A" w:rsidP="00FF509A">
      <w:pPr>
        <w:autoSpaceDN/>
        <w:textAlignment w:val="auto"/>
        <w:rPr>
          <w:lang w:val="en-US" w:eastAsia="fr-FR"/>
        </w:rPr>
      </w:pPr>
      <w:r w:rsidRPr="005374EA">
        <w:rPr>
          <w:lang w:eastAsia="fr-FR"/>
        </w:rPr>
        <w:sym w:font="Symbol" w:char="F0B7"/>
      </w:r>
      <w:r w:rsidRPr="005374EA">
        <w:rPr>
          <w:lang w:val="en-US" w:eastAsia="fr-FR"/>
        </w:rPr>
        <w:t xml:space="preserve"> Increased Competition: Increased usage of online traffic due to COVID-19, E Commerce platform </w:t>
      </w:r>
    </w:p>
    <w:p w14:paraId="5DA5DF9B" w14:textId="77777777" w:rsidR="00FF509A" w:rsidRPr="005374EA" w:rsidRDefault="00FF509A" w:rsidP="00FF509A">
      <w:pPr>
        <w:autoSpaceDN/>
        <w:textAlignment w:val="auto"/>
        <w:rPr>
          <w:lang w:val="en-US" w:eastAsia="fr-FR"/>
        </w:rPr>
      </w:pPr>
      <w:r w:rsidRPr="005374EA">
        <w:rPr>
          <w:lang w:val="en-US" w:eastAsia="fr-FR"/>
        </w:rPr>
        <w:t xml:space="preserve">is filled with competitive businesses. It is very important to do a thorough analysis of your competitors to get a better understanding of the market realities. If you are not as compatible as your competitors then you can’t survive in market for a long run. </w:t>
      </w:r>
    </w:p>
    <w:p w14:paraId="3F8029BB" w14:textId="596BBAAE" w:rsidR="00FF509A" w:rsidRPr="005374EA" w:rsidRDefault="00FF509A" w:rsidP="00FF509A">
      <w:pPr>
        <w:numPr>
          <w:ilvl w:val="0"/>
          <w:numId w:val="42"/>
        </w:numPr>
        <w:overflowPunct/>
        <w:autoSpaceDE/>
        <w:autoSpaceDN/>
        <w:adjustRightInd/>
        <w:spacing w:after="0"/>
        <w:textAlignment w:val="auto"/>
        <w:rPr>
          <w:lang w:val="en-US" w:eastAsia="fr-FR"/>
        </w:rPr>
      </w:pPr>
      <w:r w:rsidRPr="005374EA">
        <w:rPr>
          <w:lang w:eastAsia="fr-FR"/>
        </w:rPr>
        <w:lastRenderedPageBreak/>
        <w:sym w:font="Symbol" w:char="F0B7"/>
      </w:r>
      <w:r w:rsidRPr="005374EA">
        <w:rPr>
          <w:lang w:val="en-US" w:eastAsia="fr-FR"/>
        </w:rPr>
        <w:t xml:space="preserve">  Profiling Fraudulent Users: Online shopping tools helps in recognizing fraudulent users across different platform.</w:t>
      </w:r>
      <w:r w:rsidR="002910F8">
        <w:rPr>
          <w:lang w:val="en-US" w:eastAsia="fr-FR"/>
        </w:rPr>
        <w:t xml:space="preserve"> </w:t>
      </w:r>
      <w:r w:rsidRPr="005374EA">
        <w:rPr>
          <w:lang w:val="en-US" w:eastAsia="fr-FR"/>
        </w:rPr>
        <w:t xml:space="preserve">This also create hurdles in working of online Commerce in this panic age. It is challenging time for E Commerce due to COVID-19. </w:t>
      </w:r>
    </w:p>
    <w:p w14:paraId="32CDBE68" w14:textId="77777777" w:rsidR="00FF509A" w:rsidRPr="005374EA" w:rsidRDefault="00FF509A" w:rsidP="00FF509A">
      <w:pPr>
        <w:numPr>
          <w:ilvl w:val="0"/>
          <w:numId w:val="42"/>
        </w:numPr>
        <w:overflowPunct/>
        <w:autoSpaceDE/>
        <w:autoSpaceDN/>
        <w:adjustRightInd/>
        <w:spacing w:after="0"/>
        <w:textAlignment w:val="auto"/>
        <w:rPr>
          <w:lang w:val="en-US" w:eastAsia="fr-FR"/>
        </w:rPr>
      </w:pPr>
      <w:r w:rsidRPr="005374EA">
        <w:rPr>
          <w:lang w:eastAsia="fr-FR"/>
        </w:rPr>
        <w:sym w:font="Symbol" w:char="F0B7"/>
      </w:r>
      <w:r w:rsidRPr="005374EA">
        <w:rPr>
          <w:lang w:val="en-US" w:eastAsia="fr-FR"/>
        </w:rPr>
        <w:t xml:space="preserve">  Impacts on parcel delivery: The majority of the respondents state that the COVID-19 situation has caused delays for parcel delivery operators, with 4 respondents qualifying the delays as “severe”. Furthermore, 5 respondents report that parcel delivery operators have resorted to asking consumers to pick up their orders from designated pick-up spots. While some respondents state that the parcel delivery delays during the second lockdown were less severe than the ones during the first one, others report that due to the combined effects of strict lockdown measures, a shift in consumer behavior towards online shopping and the increased demand around the Christmas period, parcel delivery operators had to open extra pick-up points to manage the increased flow of parcels. </w:t>
      </w:r>
    </w:p>
    <w:p w14:paraId="1A0E5C99" w14:textId="77777777" w:rsidR="00FF509A" w:rsidRPr="00536BE9" w:rsidRDefault="00FF509A" w:rsidP="00FF509A">
      <w:pPr>
        <w:pStyle w:val="Textbody"/>
        <w:rPr>
          <w:lang w:val="en-US"/>
        </w:rPr>
      </w:pPr>
    </w:p>
    <w:p w14:paraId="340311A1" w14:textId="22962976" w:rsidR="00FF509A" w:rsidRPr="005374EA" w:rsidRDefault="00FF509A" w:rsidP="00FF509A">
      <w:pPr>
        <w:pStyle w:val="Titre2"/>
        <w:rPr>
          <w:lang w:val="en-US"/>
        </w:rPr>
      </w:pPr>
      <w:bookmarkStart w:id="118" w:name="_Toc124754807"/>
      <w:r>
        <w:rPr>
          <w:lang w:val="en-US"/>
        </w:rPr>
        <w:t>4.</w:t>
      </w:r>
      <w:r w:rsidRPr="005374EA">
        <w:rPr>
          <w:lang w:val="en-US"/>
        </w:rPr>
        <w:t xml:space="preserve">3.  </w:t>
      </w:r>
      <w:r w:rsidR="00257D61">
        <w:rPr>
          <w:lang w:val="en-US"/>
        </w:rPr>
        <w:t>Ed</w:t>
      </w:r>
      <w:r w:rsidRPr="005374EA">
        <w:rPr>
          <w:lang w:val="en-US"/>
        </w:rPr>
        <w:t>ucation and e-learning</w:t>
      </w:r>
      <w:bookmarkEnd w:id="118"/>
    </w:p>
    <w:p w14:paraId="74C8223B" w14:textId="6CFDB41F" w:rsidR="00FF509A" w:rsidRDefault="00FF509A" w:rsidP="00FF509A">
      <w:pPr>
        <w:pStyle w:val="Textbody"/>
        <w:rPr>
          <w:lang w:val="en-US"/>
        </w:rPr>
      </w:pPr>
      <w:r w:rsidRPr="0013217F">
        <w:rPr>
          <w:lang w:val="en-US"/>
        </w:rPr>
        <w:t xml:space="preserve">The impact of the COVID-19 </w:t>
      </w:r>
      <w:r>
        <w:rPr>
          <w:lang w:val="en-US"/>
        </w:rPr>
        <w:t>on education – UNESCO study</w:t>
      </w:r>
      <w:r w:rsidR="002910F8">
        <w:rPr>
          <w:lang w:val="en-US"/>
        </w:rPr>
        <w:t xml:space="preserve"> [B.5]</w:t>
      </w:r>
      <w:r>
        <w:rPr>
          <w:lang w:val="en-US"/>
        </w:rPr>
        <w:t xml:space="preserve"> –</w:t>
      </w:r>
    </w:p>
    <w:p w14:paraId="3CD61BFB" w14:textId="77777777" w:rsidR="00FF509A" w:rsidRDefault="00FF509A" w:rsidP="00FF509A">
      <w:pPr>
        <w:pStyle w:val="Textbody"/>
        <w:rPr>
          <w:lang w:val="en-US"/>
        </w:rPr>
      </w:pPr>
      <w:r w:rsidRPr="0013217F">
        <w:rPr>
          <w:sz w:val="21"/>
          <w:szCs w:val="21"/>
          <w:lang w:val="en-US"/>
        </w:rPr>
        <w:t>The data collection was implemented in between December 2020 to July 2021 in the following 11 countries: Burkina Faso, Denmark, Ethiopia, India, Kenya, the Russian Federation, Rwanda, Slovenia, the United Arab Emirates, Uruguay, and Uzbekistan. It thereby covered a wide set of countries from Africa, Asia, Europe, the Gulf region, and South America. REDS collected questionnaire data from a total of 21,063 students, 15,004 teachers and 1,581 principals. Student data were collected in eight countries, teacher data in ten countries and school data in all eleven countries</w:t>
      </w:r>
      <w:r w:rsidRPr="0013217F">
        <w:rPr>
          <w:lang w:val="en-US"/>
        </w:rPr>
        <w:t xml:space="preserve">. </w:t>
      </w:r>
    </w:p>
    <w:p w14:paraId="7CFC5169" w14:textId="77777777" w:rsidR="00FF509A" w:rsidRPr="0013217F" w:rsidRDefault="00FF509A" w:rsidP="00FF509A">
      <w:pPr>
        <w:pStyle w:val="Textbody"/>
        <w:rPr>
          <w:lang w:val="en-US"/>
        </w:rPr>
      </w:pPr>
      <w:r w:rsidRPr="0013217F">
        <w:rPr>
          <w:lang w:val="en-US"/>
        </w:rPr>
        <w:t xml:space="preserve">The study </w:t>
      </w:r>
      <w:r>
        <w:rPr>
          <w:lang w:val="en-US"/>
        </w:rPr>
        <w:t>sifts</w:t>
      </w:r>
      <w:r w:rsidRPr="0013217F">
        <w:rPr>
          <w:lang w:val="en-US"/>
        </w:rPr>
        <w:t xml:space="preserve"> eight research themes </w:t>
      </w:r>
    </w:p>
    <w:p w14:paraId="76CC1231" w14:textId="35C5C106" w:rsidR="00FF509A" w:rsidRPr="0013217F" w:rsidRDefault="00FF509A" w:rsidP="00FF509A">
      <w:pPr>
        <w:pStyle w:val="Titre3"/>
        <w:rPr>
          <w:lang w:val="en-US"/>
        </w:rPr>
      </w:pPr>
      <w:bookmarkStart w:id="119" w:name="_Toc124754808"/>
      <w:r>
        <w:rPr>
          <w:lang w:val="en-US"/>
        </w:rPr>
        <w:t>4.3.</w:t>
      </w:r>
      <w:r w:rsidRPr="0013217F">
        <w:rPr>
          <w:lang w:val="en-US"/>
        </w:rPr>
        <w:t>1. Manifestations of the reference period within countries</w:t>
      </w:r>
      <w:bookmarkEnd w:id="119"/>
      <w:r w:rsidRPr="0013217F">
        <w:rPr>
          <w:lang w:val="en-US"/>
        </w:rPr>
        <w:t xml:space="preserve"> </w:t>
      </w:r>
    </w:p>
    <w:p w14:paraId="0DE2D51E" w14:textId="77777777" w:rsidR="00FF509A" w:rsidRPr="0013217F" w:rsidRDefault="00FF509A" w:rsidP="00FF509A">
      <w:pPr>
        <w:pStyle w:val="Textbody"/>
        <w:rPr>
          <w:lang w:val="en-US"/>
        </w:rPr>
      </w:pPr>
      <w:r w:rsidRPr="0013217F">
        <w:rPr>
          <w:lang w:val="en-US"/>
        </w:rPr>
        <w:t xml:space="preserve">This theme is closely related to the research question addressing the education system-level responses to the COVID-19 pandemic. The theme provides a framework for reporting of descriptive profiles of high-level national responses during the period of disruption (due to and including school closures). Questions relating to this theme were addressed to national </w:t>
      </w:r>
      <w:proofErr w:type="spellStart"/>
      <w:r w:rsidRPr="0013217F">
        <w:rPr>
          <w:lang w:val="en-US"/>
        </w:rPr>
        <w:t>centres</w:t>
      </w:r>
      <w:proofErr w:type="spellEnd"/>
      <w:r w:rsidRPr="0013217F">
        <w:rPr>
          <w:lang w:val="en-US"/>
        </w:rPr>
        <w:t xml:space="preserve"> and schools only. They addressed topics associated with the organizational arrangements governing school operation during the period of disruption and the degree to which schools and systems held authority over these arrangements. </w:t>
      </w:r>
    </w:p>
    <w:p w14:paraId="5216A85A" w14:textId="3BDA2C31" w:rsidR="00FF509A" w:rsidRPr="0013217F" w:rsidRDefault="00FF509A" w:rsidP="00FF509A">
      <w:pPr>
        <w:pStyle w:val="Titre3"/>
        <w:rPr>
          <w:lang w:val="en-US"/>
        </w:rPr>
      </w:pPr>
      <w:bookmarkStart w:id="120" w:name="_Toc124754809"/>
      <w:r>
        <w:rPr>
          <w:lang w:val="en-US"/>
        </w:rPr>
        <w:t>4.3.</w:t>
      </w:r>
      <w:r w:rsidRPr="0013217F">
        <w:rPr>
          <w:lang w:val="en-US"/>
        </w:rPr>
        <w:t>2. School/teacher/student background</w:t>
      </w:r>
      <w:bookmarkEnd w:id="120"/>
      <w:r w:rsidRPr="0013217F">
        <w:rPr>
          <w:lang w:val="en-US"/>
        </w:rPr>
        <w:t xml:space="preserve"> </w:t>
      </w:r>
    </w:p>
    <w:p w14:paraId="4A457756" w14:textId="77777777" w:rsidR="00FF509A" w:rsidRPr="0013217F" w:rsidRDefault="00FF509A" w:rsidP="00FF509A">
      <w:pPr>
        <w:pStyle w:val="Textbody"/>
        <w:rPr>
          <w:i/>
          <w:iCs/>
          <w:lang w:val="en-US"/>
        </w:rPr>
      </w:pPr>
      <w:r w:rsidRPr="0013217F">
        <w:rPr>
          <w:lang w:val="en-US"/>
        </w:rPr>
        <w:t>Measuring the experience of the COVID-19 educational disruption across subgroups is one of the primary purposes</w:t>
      </w:r>
      <w:r>
        <w:rPr>
          <w:lang w:val="en-US"/>
        </w:rPr>
        <w:t xml:space="preserve"> of the study</w:t>
      </w:r>
      <w:r w:rsidRPr="0013217F">
        <w:rPr>
          <w:lang w:val="en-US"/>
        </w:rPr>
        <w:t>.</w:t>
      </w:r>
    </w:p>
    <w:p w14:paraId="65FFF4A2" w14:textId="2892DD4A" w:rsidR="00FF509A" w:rsidRPr="0013217F" w:rsidRDefault="00FF509A" w:rsidP="00FF509A">
      <w:pPr>
        <w:pStyle w:val="Titre3"/>
        <w:rPr>
          <w:lang w:val="en-US"/>
        </w:rPr>
      </w:pPr>
      <w:bookmarkStart w:id="121" w:name="_Toc124754810"/>
      <w:r>
        <w:rPr>
          <w:lang w:val="en-US"/>
        </w:rPr>
        <w:t>4.3.3</w:t>
      </w:r>
      <w:r w:rsidRPr="0013217F">
        <w:rPr>
          <w:lang w:val="en-US"/>
        </w:rPr>
        <w:t>. Impact on classroom teaching and learning</w:t>
      </w:r>
      <w:bookmarkEnd w:id="121"/>
      <w:r w:rsidRPr="0013217F">
        <w:rPr>
          <w:lang w:val="en-US"/>
        </w:rPr>
        <w:t xml:space="preserve"> </w:t>
      </w:r>
    </w:p>
    <w:p w14:paraId="2758D540" w14:textId="77777777" w:rsidR="00FF509A" w:rsidRPr="0013217F" w:rsidRDefault="00FF509A" w:rsidP="00FF509A">
      <w:pPr>
        <w:pStyle w:val="Textbody"/>
        <w:rPr>
          <w:lang w:val="en-US"/>
        </w:rPr>
      </w:pPr>
      <w:r w:rsidRPr="0013217F">
        <w:rPr>
          <w:lang w:val="en-US"/>
        </w:rPr>
        <w:t xml:space="preserve">This research theme is closely related to the research question addressing the impacts of the COVID-19 pandemic on teaching and learning, and how these were mitigated by measures at the school level. </w:t>
      </w:r>
    </w:p>
    <w:p w14:paraId="15F9CF65" w14:textId="0ACF0AFA" w:rsidR="00FF509A" w:rsidRPr="0013217F" w:rsidRDefault="00FF509A" w:rsidP="00FF509A">
      <w:pPr>
        <w:pStyle w:val="Titre3"/>
        <w:rPr>
          <w:lang w:val="en-US"/>
        </w:rPr>
      </w:pPr>
      <w:bookmarkStart w:id="122" w:name="_Toc124754811"/>
      <w:r>
        <w:rPr>
          <w:lang w:val="en-US"/>
        </w:rPr>
        <w:t>4.3.</w:t>
      </w:r>
      <w:r w:rsidRPr="0013217F">
        <w:rPr>
          <w:lang w:val="en-US"/>
        </w:rPr>
        <w:t>4. Assessment of student learning and provision of feedback to students</w:t>
      </w:r>
      <w:bookmarkEnd w:id="122"/>
      <w:r w:rsidRPr="0013217F">
        <w:rPr>
          <w:lang w:val="en-US"/>
        </w:rPr>
        <w:t xml:space="preserve"> </w:t>
      </w:r>
    </w:p>
    <w:p w14:paraId="2B9612AF" w14:textId="4FBB57D1" w:rsidR="00FF509A" w:rsidRPr="0013217F" w:rsidRDefault="00FF509A" w:rsidP="00FF509A">
      <w:pPr>
        <w:pStyle w:val="Textbody"/>
        <w:rPr>
          <w:lang w:val="en-US"/>
        </w:rPr>
      </w:pPr>
      <w:r w:rsidRPr="0013217F">
        <w:rPr>
          <w:lang w:val="en-US"/>
        </w:rPr>
        <w:t xml:space="preserve">This theme relevant to the two research questions addressing the </w:t>
      </w:r>
      <w:r w:rsidRPr="0013217F">
        <w:rPr>
          <w:i/>
          <w:iCs/>
          <w:lang w:val="en-US"/>
        </w:rPr>
        <w:t>impact of the pandemic on staff and students and the support for students to return to regular schooling</w:t>
      </w:r>
      <w:r w:rsidRPr="0013217F">
        <w:rPr>
          <w:lang w:val="en-US"/>
        </w:rPr>
        <w:t xml:space="preserve">. </w:t>
      </w:r>
      <w:r w:rsidR="002910F8">
        <w:rPr>
          <w:lang w:val="en-US"/>
        </w:rPr>
        <w:t>[B.6]</w:t>
      </w:r>
    </w:p>
    <w:p w14:paraId="375797DF" w14:textId="29050BD9" w:rsidR="00FF509A" w:rsidRPr="0013217F" w:rsidRDefault="00FF509A" w:rsidP="00FF509A">
      <w:pPr>
        <w:pStyle w:val="Titre3"/>
        <w:rPr>
          <w:lang w:val="en-US"/>
        </w:rPr>
      </w:pPr>
      <w:bookmarkStart w:id="123" w:name="_Toc124754812"/>
      <w:r>
        <w:rPr>
          <w:lang w:val="en-US"/>
        </w:rPr>
        <w:t>4.3.</w:t>
      </w:r>
      <w:r w:rsidRPr="0013217F">
        <w:rPr>
          <w:lang w:val="en-US"/>
        </w:rPr>
        <w:t>5. Teacher professional support</w:t>
      </w:r>
      <w:bookmarkEnd w:id="123"/>
      <w:r w:rsidRPr="0013217F">
        <w:rPr>
          <w:lang w:val="en-US"/>
        </w:rPr>
        <w:t xml:space="preserve"> </w:t>
      </w:r>
    </w:p>
    <w:p w14:paraId="366A06C0" w14:textId="017A87C5" w:rsidR="00FF509A" w:rsidRPr="0013217F" w:rsidRDefault="00FF509A" w:rsidP="00FF509A">
      <w:pPr>
        <w:pStyle w:val="Textbody"/>
        <w:rPr>
          <w:lang w:val="en-US"/>
        </w:rPr>
      </w:pPr>
      <w:r w:rsidRPr="0013217F">
        <w:rPr>
          <w:lang w:val="en-US"/>
        </w:rPr>
        <w:t xml:space="preserve">The change of teaching and learning across schools brought about by the COVID-19 disruption necessitated rapid changes in teaching practices by many teachers across countries. As a consequence, a research theme was associated with the nature of professional support needed by and made available to teachers to help them adapt to the new ways of working. This research theme is most closely related to the two research questions relating to </w:t>
      </w:r>
      <w:r w:rsidRPr="0013217F">
        <w:rPr>
          <w:i/>
          <w:iCs/>
          <w:lang w:val="en-US"/>
        </w:rPr>
        <w:t xml:space="preserve">the impact of the pandemic on </w:t>
      </w:r>
      <w:r w:rsidRPr="0013217F">
        <w:rPr>
          <w:i/>
          <w:iCs/>
          <w:lang w:val="en-US"/>
        </w:rPr>
        <w:lastRenderedPageBreak/>
        <w:t>teaching and learning and on staff and students</w:t>
      </w:r>
      <w:r w:rsidR="00187E48">
        <w:rPr>
          <w:i/>
          <w:iCs/>
          <w:lang w:val="en-US"/>
        </w:rPr>
        <w:t xml:space="preserve"> </w:t>
      </w:r>
      <w:r w:rsidR="00187E48" w:rsidRPr="00187E48">
        <w:rPr>
          <w:lang w:val="en-US"/>
        </w:rPr>
        <w:t>[B.6]</w:t>
      </w:r>
      <w:r w:rsidRPr="0013217F">
        <w:rPr>
          <w:lang w:val="en-US"/>
        </w:rPr>
        <w:t xml:space="preserve">, however, it also is relevant to the research question associated with </w:t>
      </w:r>
      <w:bookmarkStart w:id="124" w:name="_Hlk124754427"/>
      <w:r w:rsidRPr="0013217F">
        <w:rPr>
          <w:i/>
          <w:iCs/>
          <w:lang w:val="en-US"/>
        </w:rPr>
        <w:t>persisting challenges and implications for the future</w:t>
      </w:r>
      <w:r w:rsidR="00187E48">
        <w:rPr>
          <w:i/>
          <w:iCs/>
          <w:lang w:val="en-US"/>
        </w:rPr>
        <w:t xml:space="preserve"> </w:t>
      </w:r>
      <w:bookmarkEnd w:id="124"/>
      <w:r w:rsidR="00187E48" w:rsidRPr="00187E48">
        <w:rPr>
          <w:lang w:val="en-US"/>
        </w:rPr>
        <w:t>[B.7]</w:t>
      </w:r>
      <w:r w:rsidRPr="0013217F">
        <w:rPr>
          <w:lang w:val="en-US"/>
        </w:rPr>
        <w:t xml:space="preserve">. </w:t>
      </w:r>
    </w:p>
    <w:p w14:paraId="1C91CB32" w14:textId="3BA0E799" w:rsidR="00FF509A" w:rsidRPr="0013217F" w:rsidRDefault="00FF509A" w:rsidP="00FF509A">
      <w:pPr>
        <w:pStyle w:val="Titre3"/>
        <w:rPr>
          <w:lang w:val="en-US"/>
        </w:rPr>
      </w:pPr>
      <w:bookmarkStart w:id="125" w:name="_Toc124754813"/>
      <w:r>
        <w:rPr>
          <w:lang w:val="en-US"/>
        </w:rPr>
        <w:t>4.3.</w:t>
      </w:r>
      <w:r w:rsidRPr="0013217F">
        <w:rPr>
          <w:lang w:val="en-US"/>
        </w:rPr>
        <w:t>6. Home engagement/support</w:t>
      </w:r>
      <w:bookmarkEnd w:id="125"/>
      <w:r w:rsidRPr="0013217F">
        <w:rPr>
          <w:lang w:val="en-US"/>
        </w:rPr>
        <w:t xml:space="preserve"> </w:t>
      </w:r>
    </w:p>
    <w:p w14:paraId="202CEFAB" w14:textId="302BFAD1" w:rsidR="00FF509A" w:rsidRPr="0013217F" w:rsidRDefault="00FF509A" w:rsidP="00FF509A">
      <w:pPr>
        <w:pStyle w:val="Textbody"/>
        <w:rPr>
          <w:lang w:val="en-US"/>
        </w:rPr>
      </w:pPr>
      <w:r w:rsidRPr="0013217F">
        <w:rPr>
          <w:lang w:val="en-US"/>
        </w:rPr>
        <w:t xml:space="preserve">While it was not feasible to include a questionnaire for students’ parents/guardians, it was possible to collect evidence from the existing four questionnaires associated with the nature and level of engagement and support for students’ learning available to them at home. This was of particular interest given the emerging policy and research concerns relating to the potential for existing educational inequities associated with students’ access to home support and resources to be exacerbated during the period of disruption when students had limited or no physical access to their school buildings, in-person support or other learning and support resources. This research theme related in particular to the two research questions associated with the </w:t>
      </w:r>
      <w:bookmarkStart w:id="126" w:name="_Hlk124754451"/>
      <w:r w:rsidRPr="0013217F">
        <w:rPr>
          <w:i/>
          <w:iCs/>
          <w:lang w:val="en-US"/>
        </w:rPr>
        <w:t>impact of the disruption on teaching and learning and on staff and students</w:t>
      </w:r>
      <w:r w:rsidR="00187E48">
        <w:rPr>
          <w:i/>
          <w:iCs/>
          <w:lang w:val="en-US"/>
        </w:rPr>
        <w:t xml:space="preserve"> </w:t>
      </w:r>
      <w:bookmarkEnd w:id="126"/>
      <w:r w:rsidR="00187E48" w:rsidRPr="00187E48">
        <w:rPr>
          <w:lang w:val="en-US"/>
        </w:rPr>
        <w:t>[B.8]</w:t>
      </w:r>
      <w:r w:rsidRPr="00187E48">
        <w:rPr>
          <w:lang w:val="en-US"/>
        </w:rPr>
        <w:t>.</w:t>
      </w:r>
      <w:r w:rsidRPr="0013217F">
        <w:rPr>
          <w:lang w:val="en-US"/>
        </w:rPr>
        <w:t xml:space="preserve"> </w:t>
      </w:r>
    </w:p>
    <w:p w14:paraId="76F336EE" w14:textId="3E68E2F3" w:rsidR="00FF509A" w:rsidRPr="0013217F" w:rsidRDefault="00B42E00" w:rsidP="00B42E00">
      <w:pPr>
        <w:pStyle w:val="Titre3"/>
        <w:rPr>
          <w:lang w:val="en-US"/>
        </w:rPr>
      </w:pPr>
      <w:bookmarkStart w:id="127" w:name="_Toc124754814"/>
      <w:r>
        <w:rPr>
          <w:lang w:val="en-US"/>
        </w:rPr>
        <w:t>4.3.</w:t>
      </w:r>
      <w:r w:rsidR="00FF509A" w:rsidRPr="0013217F">
        <w:rPr>
          <w:lang w:val="en-US"/>
        </w:rPr>
        <w:t>7. Well-being</w:t>
      </w:r>
      <w:bookmarkEnd w:id="127"/>
      <w:r w:rsidR="00FF509A" w:rsidRPr="0013217F">
        <w:rPr>
          <w:lang w:val="en-US"/>
        </w:rPr>
        <w:t xml:space="preserve"> </w:t>
      </w:r>
    </w:p>
    <w:p w14:paraId="6B8F310F" w14:textId="7CE98B7F" w:rsidR="00FF509A" w:rsidRPr="0013217F" w:rsidRDefault="00FF509A" w:rsidP="00FF509A">
      <w:pPr>
        <w:pStyle w:val="Textbody"/>
        <w:rPr>
          <w:lang w:val="en-US"/>
        </w:rPr>
      </w:pPr>
      <w:r w:rsidRPr="0013217F">
        <w:rPr>
          <w:lang w:val="en-US"/>
        </w:rPr>
        <w:t xml:space="preserve">At the forefront of discussions on the impact of the COVID-19 disruption on schools was, and continues to be, the impact of the changed conditions in schools on the physical, social, and emotional well-being of school staff, students, and their families. There are aspects of the changed conditions associated with well-being that are common across members of school communities, but also some that are specific to the different levels of respondent. Data collected under the well-being research theme is intended to capture an overarching picture of the factors associated with individual well-being, but also what was being done within schools and school systems to support the well-being of school staff, students, and their families. This theme relates directly to the research question addressing the </w:t>
      </w:r>
      <w:r w:rsidRPr="0013217F">
        <w:rPr>
          <w:i/>
          <w:iCs/>
          <w:lang w:val="en-US"/>
        </w:rPr>
        <w:t>impacts of the COVID-19 pandemic on school staff and students</w:t>
      </w:r>
      <w:r w:rsidR="00187E48">
        <w:rPr>
          <w:i/>
          <w:iCs/>
          <w:lang w:val="en-US"/>
        </w:rPr>
        <w:t xml:space="preserve"> </w:t>
      </w:r>
      <w:r w:rsidR="00187E48" w:rsidRPr="00187E48">
        <w:rPr>
          <w:lang w:val="en-US"/>
        </w:rPr>
        <w:t>[B.6]</w:t>
      </w:r>
      <w:r w:rsidRPr="0013217F">
        <w:rPr>
          <w:i/>
          <w:iCs/>
          <w:lang w:val="en-US"/>
        </w:rPr>
        <w:t>, and how these were mitigated by measures within countries</w:t>
      </w:r>
      <w:r w:rsidRPr="0013217F">
        <w:rPr>
          <w:lang w:val="en-US"/>
        </w:rPr>
        <w:t xml:space="preserve">. </w:t>
      </w:r>
    </w:p>
    <w:p w14:paraId="6F59FC2A" w14:textId="372715A1" w:rsidR="00FF509A" w:rsidRPr="0013217F" w:rsidRDefault="00B42E00" w:rsidP="00B42E00">
      <w:pPr>
        <w:pStyle w:val="Titre3"/>
        <w:rPr>
          <w:lang w:val="en-US"/>
        </w:rPr>
      </w:pPr>
      <w:bookmarkStart w:id="128" w:name="_Toc124754815"/>
      <w:r>
        <w:rPr>
          <w:lang w:val="en-US"/>
        </w:rPr>
        <w:t>4.3.</w:t>
      </w:r>
      <w:r w:rsidR="00FF509A" w:rsidRPr="0013217F">
        <w:rPr>
          <w:lang w:val="en-US"/>
        </w:rPr>
        <w:t>8. Persisting changes following the disruption</w:t>
      </w:r>
      <w:bookmarkEnd w:id="128"/>
      <w:r w:rsidR="00FF509A" w:rsidRPr="0013217F">
        <w:rPr>
          <w:lang w:val="en-US"/>
        </w:rPr>
        <w:t xml:space="preserve"> </w:t>
      </w:r>
    </w:p>
    <w:p w14:paraId="6A2BD0DD" w14:textId="77777777" w:rsidR="00FF509A" w:rsidRPr="0013217F" w:rsidRDefault="00FF509A" w:rsidP="00FF509A">
      <w:pPr>
        <w:pStyle w:val="Textbody"/>
        <w:rPr>
          <w:lang w:val="en-US"/>
        </w:rPr>
      </w:pPr>
      <w:r w:rsidRPr="0013217F">
        <w:rPr>
          <w:lang w:val="en-US"/>
        </w:rPr>
        <w:t xml:space="preserve">This research theme is directly relevant to the research question addressing the actions of schools </w:t>
      </w:r>
      <w:r w:rsidRPr="0013217F">
        <w:rPr>
          <w:i/>
          <w:iCs/>
          <w:lang w:val="en-US"/>
        </w:rPr>
        <w:t>to support students’ return to regular schooling and the persisting changes in schools and their implications for schooling in the future</w:t>
      </w:r>
      <w:r w:rsidRPr="0013217F">
        <w:rPr>
          <w:lang w:val="en-US"/>
        </w:rPr>
        <w:t xml:space="preserve">. </w:t>
      </w:r>
    </w:p>
    <w:p w14:paraId="543C9B5D" w14:textId="77777777" w:rsidR="00187E48" w:rsidRDefault="00FF509A" w:rsidP="00FF509A">
      <w:pPr>
        <w:pStyle w:val="Textbody"/>
        <w:rPr>
          <w:lang w:val="en-US"/>
        </w:rPr>
      </w:pPr>
      <w:r w:rsidRPr="0013217F">
        <w:rPr>
          <w:lang w:val="en-US"/>
        </w:rPr>
        <w:t xml:space="preserve">Under this theme, the potential impact of the experience of the disruption on future schooling are considered from two perspectives: </w:t>
      </w:r>
    </w:p>
    <w:p w14:paraId="6D9F3E79" w14:textId="569BFE4C" w:rsidR="00187E48" w:rsidRDefault="00FF509A" w:rsidP="00187E48">
      <w:pPr>
        <w:pStyle w:val="Textbody"/>
        <w:numPr>
          <w:ilvl w:val="0"/>
          <w:numId w:val="43"/>
        </w:numPr>
        <w:rPr>
          <w:lang w:val="en-US"/>
        </w:rPr>
      </w:pPr>
      <w:r w:rsidRPr="0013217F">
        <w:rPr>
          <w:lang w:val="en-US"/>
        </w:rPr>
        <w:t xml:space="preserve">Changes that happened during the disruption that respondents perceived to be positive and may contribute to improvements in regular schooling in the future; and </w:t>
      </w:r>
    </w:p>
    <w:p w14:paraId="2DF8A6FF" w14:textId="4FFFB5C0" w:rsidR="00FF509A" w:rsidRPr="0013217F" w:rsidRDefault="00FF509A" w:rsidP="00187E48">
      <w:pPr>
        <w:pStyle w:val="Textbody"/>
        <w:ind w:left="360"/>
        <w:rPr>
          <w:lang w:val="en-US"/>
        </w:rPr>
      </w:pPr>
      <w:r w:rsidRPr="0013217F">
        <w:rPr>
          <w:lang w:val="en-US"/>
        </w:rPr>
        <w:t xml:space="preserve">ii) </w:t>
      </w:r>
      <w:r w:rsidR="00187E48">
        <w:rPr>
          <w:lang w:val="en-US"/>
        </w:rPr>
        <w:tab/>
      </w:r>
      <w:r w:rsidR="00187E48">
        <w:rPr>
          <w:lang w:val="en-US"/>
        </w:rPr>
        <w:tab/>
      </w:r>
      <w:r w:rsidRPr="0013217F">
        <w:rPr>
          <w:lang w:val="en-US"/>
        </w:rPr>
        <w:t xml:space="preserve">Changes that may result in school systems and school communities being better prepared should similar disruptions occur in the future. </w:t>
      </w:r>
    </w:p>
    <w:p w14:paraId="372B5004" w14:textId="1E5B3560" w:rsidR="00FF509A" w:rsidRPr="00FF509A" w:rsidRDefault="00FF509A" w:rsidP="00FF509A">
      <w:pPr>
        <w:pStyle w:val="Titre2"/>
      </w:pPr>
      <w:bookmarkStart w:id="129" w:name="_Toc124754816"/>
      <w:r w:rsidRPr="00FF509A">
        <w:t xml:space="preserve">4.4. </w:t>
      </w:r>
      <w:r w:rsidR="00187E48">
        <w:t>M</w:t>
      </w:r>
      <w:r w:rsidRPr="00FF509A">
        <w:t>edical care and pandemic tools</w:t>
      </w:r>
      <w:bookmarkEnd w:id="129"/>
    </w:p>
    <w:p w14:paraId="13A978F4" w14:textId="08E66855" w:rsidR="00FF509A" w:rsidRPr="00935B4B" w:rsidRDefault="00FF509A" w:rsidP="00FF509A">
      <w:pPr>
        <w:pStyle w:val="Titre3"/>
        <w:rPr>
          <w:lang w:val="en-US"/>
        </w:rPr>
      </w:pPr>
      <w:bookmarkStart w:id="130" w:name="_Toc124754817"/>
      <w:r>
        <w:rPr>
          <w:lang w:val="en-US"/>
        </w:rPr>
        <w:t>4.4</w:t>
      </w:r>
      <w:r w:rsidRPr="00935B4B">
        <w:rPr>
          <w:lang w:val="en-US"/>
        </w:rPr>
        <w:t>.1 The boost of telemedicine</w:t>
      </w:r>
      <w:bookmarkEnd w:id="130"/>
      <w:r w:rsidRPr="00935B4B">
        <w:rPr>
          <w:lang w:val="en-US"/>
        </w:rPr>
        <w:t xml:space="preserve"> </w:t>
      </w:r>
    </w:p>
    <w:p w14:paraId="6791F7C3" w14:textId="02BB7CDF" w:rsidR="00FF509A" w:rsidRPr="00D45078" w:rsidRDefault="00FF509A" w:rsidP="00FF509A">
      <w:pPr>
        <w:pStyle w:val="NormalWeb"/>
        <w:rPr>
          <w:sz w:val="36"/>
          <w:szCs w:val="36"/>
          <w:lang w:val="en-US"/>
        </w:rPr>
      </w:pPr>
      <w:r w:rsidRPr="00935B4B">
        <w:rPr>
          <w:lang w:val="en-US"/>
        </w:rPr>
        <w:t xml:space="preserve">Telemedicine has experienced a strong boost during the COVID-19 health emergency because of several significant contributions. </w:t>
      </w:r>
      <w:r w:rsidRPr="00D45078">
        <w:rPr>
          <w:lang w:val="en-US"/>
        </w:rPr>
        <w:t>On the one hand, telemedicine can reduce the number of people visiting medical services, from general practitioners to hospitals, therefore decreasing risks of contagion and spreading of the disease. On the other hand, it serves to optimize the use of medical resources (e.g. imaging scans, lab test) in ‘common pathologies’, freeing resources for the priority of the pandemic. Since there are patients who fear visiting clinical facilities, telemedicine is also helpful to reduce incidences related to certain diseases which can be</w:t>
      </w:r>
      <w:r>
        <w:rPr>
          <w:lang w:val="en-US"/>
        </w:rPr>
        <w:t xml:space="preserve"> </w:t>
      </w:r>
      <w:r w:rsidRPr="00D45078">
        <w:rPr>
          <w:lang w:val="en-US"/>
        </w:rPr>
        <w:t>managed</w:t>
      </w:r>
      <w:r>
        <w:rPr>
          <w:lang w:val="en-US"/>
        </w:rPr>
        <w:t xml:space="preserve"> </w:t>
      </w:r>
      <w:r w:rsidRPr="00D45078">
        <w:rPr>
          <w:lang w:val="en-US"/>
        </w:rPr>
        <w:t xml:space="preserve">remotely. Severalcurrenttechnologieshaveastrongpotentialfortelemedicinethatisnotyet fully exploited: from </w:t>
      </w:r>
      <w:r w:rsidRPr="00D45078">
        <w:rPr>
          <w:lang w:val="en-US"/>
        </w:rPr>
        <w:lastRenderedPageBreak/>
        <w:t xml:space="preserve">wearables and internet-of-things (IoT) devices for health monitoring, to virtual reality environments for human-human interaction. </w:t>
      </w:r>
    </w:p>
    <w:p w14:paraId="65DAECD9" w14:textId="3F5105E3" w:rsidR="00FF509A" w:rsidRPr="00D45078" w:rsidRDefault="00FF509A" w:rsidP="00FF509A">
      <w:pPr>
        <w:pStyle w:val="NormalWeb"/>
        <w:rPr>
          <w:sz w:val="36"/>
          <w:szCs w:val="36"/>
          <w:lang w:val="en-US"/>
        </w:rPr>
      </w:pPr>
      <w:r w:rsidRPr="00D45078">
        <w:rPr>
          <w:lang w:val="en-US"/>
        </w:rPr>
        <w:t xml:space="preserve">However, there are also challenges in using telemedicine in the current pandemic. Among them, there is a need for physicians to adapt to a new scenario without the physical presence of the patient. In addition, there is a risk of individuals being remotely guided to perform certain medical procedures that should be carried out by a trained professional. The lack of direct contact with the patient is of particular relevance for a correct diagnosis in many clinical areas, since physicians extract important information from physical contact (e.g. through palpation) and from visual perception (e.g. gait disturbances, skin appearance). The current impossibility of tactile, haptic feedback is an active drawback to be solved for remote diagnosis platforms and tools. </w:t>
      </w:r>
    </w:p>
    <w:p w14:paraId="1ABD2816" w14:textId="77777777" w:rsidR="00FF509A" w:rsidRPr="00A63186" w:rsidRDefault="00FF509A" w:rsidP="00FF509A">
      <w:pPr>
        <w:pStyle w:val="Textbody"/>
        <w:rPr>
          <w:lang w:val="en-US"/>
        </w:rPr>
      </w:pPr>
    </w:p>
    <w:p w14:paraId="65B79301" w14:textId="77777777" w:rsidR="00FF509A" w:rsidRPr="00A63186" w:rsidRDefault="00FF509A" w:rsidP="00FF509A">
      <w:pPr>
        <w:pStyle w:val="Textbody"/>
        <w:rPr>
          <w:lang w:val="en-US"/>
        </w:rPr>
      </w:pPr>
    </w:p>
    <w:p w14:paraId="4E8F8459" w14:textId="77777777" w:rsidR="00FF509A" w:rsidRPr="00A63186" w:rsidRDefault="00FF509A" w:rsidP="00FF509A">
      <w:pPr>
        <w:pStyle w:val="Textbody"/>
        <w:rPr>
          <w:lang w:val="en-US"/>
        </w:rPr>
      </w:pPr>
    </w:p>
    <w:p w14:paraId="1FFE8904" w14:textId="72D53540" w:rsidR="00BB6418" w:rsidRPr="00F54712" w:rsidRDefault="00BB6418" w:rsidP="00FF509A">
      <w:pPr>
        <w:pStyle w:val="Titre2"/>
      </w:pPr>
    </w:p>
    <w:p w14:paraId="02DB2989" w14:textId="77777777" w:rsidR="009A00D6" w:rsidRDefault="009A00D6">
      <w:pPr>
        <w:overflowPunct/>
        <w:autoSpaceDE/>
        <w:autoSpaceDN/>
        <w:adjustRightInd/>
        <w:spacing w:after="0"/>
        <w:textAlignment w:val="auto"/>
        <w:rPr>
          <w:rStyle w:val="Guidance"/>
          <w:rFonts w:ascii="Arial" w:hAnsi="Arial" w:cs="Arial"/>
          <w:bCs/>
          <w:caps/>
          <w:sz w:val="18"/>
          <w:szCs w:val="18"/>
        </w:rPr>
      </w:pPr>
      <w:r>
        <w:rPr>
          <w:rStyle w:val="Guidance"/>
          <w:rFonts w:cs="Arial"/>
          <w:bCs/>
          <w:caps/>
          <w:sz w:val="18"/>
          <w:szCs w:val="18"/>
        </w:rPr>
        <w:br w:type="page"/>
      </w:r>
    </w:p>
    <w:p w14:paraId="2CD52066" w14:textId="77777777" w:rsidR="001B7A76" w:rsidRPr="00F54712" w:rsidRDefault="001B7A76" w:rsidP="00A15DE7">
      <w:pPr>
        <w:pStyle w:val="Titre9"/>
      </w:pPr>
      <w:bookmarkStart w:id="131" w:name="_Toc451532678"/>
      <w:bookmarkStart w:id="132" w:name="_Toc487531437"/>
      <w:bookmarkStart w:id="133" w:name="_Toc527986740"/>
      <w:bookmarkStart w:id="134" w:name="_Toc67666495"/>
      <w:bookmarkStart w:id="135" w:name="_Toc67667102"/>
      <w:bookmarkStart w:id="136" w:name="_Toc124754818"/>
      <w:r w:rsidRPr="00F54712">
        <w:lastRenderedPageBreak/>
        <w:t xml:space="preserve">Annex </w:t>
      </w:r>
      <w:r w:rsidR="00D83CB3">
        <w:t>A</w:t>
      </w:r>
      <w:r w:rsidRPr="00F54712">
        <w:t>:</w:t>
      </w:r>
      <w:r w:rsidRPr="00F54712">
        <w:br/>
        <w:t>Title of annex</w:t>
      </w:r>
      <w:bookmarkEnd w:id="131"/>
      <w:bookmarkEnd w:id="132"/>
      <w:bookmarkEnd w:id="133"/>
      <w:bookmarkEnd w:id="134"/>
      <w:bookmarkEnd w:id="135"/>
      <w:bookmarkEnd w:id="136"/>
    </w:p>
    <w:p w14:paraId="0748A24E" w14:textId="77777777" w:rsidR="001B7A76" w:rsidRPr="00F54712" w:rsidRDefault="001B7A76" w:rsidP="001B7A76"/>
    <w:p w14:paraId="08874C20" w14:textId="77777777" w:rsidR="009A00D6" w:rsidRDefault="009A00D6" w:rsidP="003420EA">
      <w:r>
        <w:br w:type="page"/>
      </w:r>
    </w:p>
    <w:p w14:paraId="49802D88" w14:textId="77777777" w:rsidR="001B7A76" w:rsidRPr="00F54712" w:rsidRDefault="005A7A5E" w:rsidP="001B7A76">
      <w:pPr>
        <w:pStyle w:val="Titre9"/>
        <w:keepNext w:val="0"/>
      </w:pPr>
      <w:bookmarkStart w:id="137" w:name="_Toc451532679"/>
      <w:bookmarkStart w:id="138" w:name="_Toc487531438"/>
      <w:bookmarkStart w:id="139" w:name="_Toc527986741"/>
      <w:bookmarkStart w:id="140" w:name="_Toc67666496"/>
      <w:bookmarkStart w:id="141" w:name="_Toc67667103"/>
      <w:bookmarkStart w:id="142" w:name="_Toc124754819"/>
      <w:r>
        <w:lastRenderedPageBreak/>
        <w:t>Annex</w:t>
      </w:r>
      <w:r w:rsidR="001B7A76" w:rsidRPr="00F54712">
        <w:t>:</w:t>
      </w:r>
      <w:r w:rsidR="001B7A76" w:rsidRPr="00F54712">
        <w:br/>
        <w:t>Bibliography</w:t>
      </w:r>
      <w:bookmarkEnd w:id="137"/>
      <w:bookmarkEnd w:id="138"/>
      <w:bookmarkEnd w:id="139"/>
      <w:bookmarkEnd w:id="140"/>
      <w:bookmarkEnd w:id="141"/>
      <w:bookmarkEnd w:id="142"/>
    </w:p>
    <w:p w14:paraId="40D20060" w14:textId="4D04D72B" w:rsidR="006875CA" w:rsidRDefault="006875CA" w:rsidP="006875CA">
      <w:pPr>
        <w:pStyle w:val="Textbody"/>
        <w:rPr>
          <w:rStyle w:val="Lienhypertexte"/>
          <w:color w:val="034990" w:themeColor="hyperlink" w:themeShade="BF"/>
        </w:rPr>
      </w:pPr>
      <w:r>
        <w:t>[B.1]</w:t>
      </w:r>
      <w:r>
        <w:tab/>
      </w:r>
      <w:hyperlink r:id="rId23" w:history="1">
        <w:r w:rsidRPr="00CE49E8">
          <w:rPr>
            <w:rStyle w:val="Lienhypertexte"/>
            <w:color w:val="034990" w:themeColor="hyperlink" w:themeShade="BF"/>
          </w:rPr>
          <w:t>https://www.techrepublic.com/article/survey-covid-19-continues-to-impact-digital-transformation-plans/</w:t>
        </w:r>
      </w:hyperlink>
    </w:p>
    <w:p w14:paraId="02905353" w14:textId="36EA1895" w:rsidR="002910F8" w:rsidRDefault="002910F8" w:rsidP="002910F8">
      <w:pPr>
        <w:pStyle w:val="Textbody"/>
        <w:rPr>
          <w:rStyle w:val="Lienhypertexte"/>
          <w:lang w:val="en-US"/>
        </w:rPr>
      </w:pPr>
      <w:r>
        <w:rPr>
          <w:rStyle w:val="Lienhypertexte"/>
          <w:color w:val="034990" w:themeColor="hyperlink" w:themeShade="BF"/>
        </w:rPr>
        <w:t xml:space="preserve">[B.2] </w:t>
      </w:r>
      <w:hyperlink r:id="rId24" w:history="1">
        <w:r w:rsidRPr="00E81AD3">
          <w:rPr>
            <w:rStyle w:val="Lienhypertexte"/>
            <w:lang w:val="en-US"/>
          </w:rPr>
          <w:t>https://www.digitaleurope.org/resources/pan-european-survey-on-the-impact-of-covid-19-on-the-digital-industry/</w:t>
        </w:r>
      </w:hyperlink>
    </w:p>
    <w:p w14:paraId="4DBDE811" w14:textId="515A2806" w:rsidR="002910F8" w:rsidRDefault="002910F8" w:rsidP="002910F8">
      <w:pPr>
        <w:pStyle w:val="Textbody"/>
        <w:rPr>
          <w:lang w:val="en-US"/>
        </w:rPr>
      </w:pPr>
      <w:r>
        <w:rPr>
          <w:rStyle w:val="Lienhypertexte"/>
          <w:lang w:val="en-US"/>
        </w:rPr>
        <w:t xml:space="preserve">[B.3] </w:t>
      </w:r>
      <w:r w:rsidRPr="00D17B9C">
        <w:rPr>
          <w:lang w:val="en-US"/>
        </w:rPr>
        <w:t>International Journal of Advanced Research in Commerce, Management &amp; Social Science (IJARCMSS) - January-March, 2022</w:t>
      </w:r>
    </w:p>
    <w:p w14:paraId="0ABE421A" w14:textId="40E88A8D" w:rsidR="002910F8" w:rsidRDefault="002910F8" w:rsidP="002910F8">
      <w:pPr>
        <w:pStyle w:val="Textbody"/>
        <w:rPr>
          <w:lang w:val="en-US"/>
        </w:rPr>
      </w:pPr>
      <w:r>
        <w:rPr>
          <w:lang w:val="en-US"/>
        </w:rPr>
        <w:t xml:space="preserve">[B.4] </w:t>
      </w:r>
      <w:r w:rsidRPr="002910F8">
        <w:rPr>
          <w:lang w:val="en-US"/>
        </w:rPr>
        <w:t>Gurpreet Kaur: Covid-19: Impacts on e-Commerce 19</w:t>
      </w:r>
    </w:p>
    <w:p w14:paraId="34182814" w14:textId="5BC2B124" w:rsidR="002910F8" w:rsidRDefault="002910F8" w:rsidP="002910F8">
      <w:pPr>
        <w:pStyle w:val="Textbody"/>
        <w:rPr>
          <w:lang w:val="en-US"/>
        </w:rPr>
      </w:pPr>
      <w:r>
        <w:rPr>
          <w:lang w:val="en-US"/>
        </w:rPr>
        <w:t>[B.5] UNESCO Study</w:t>
      </w:r>
    </w:p>
    <w:p w14:paraId="57129DD3" w14:textId="2C6D0123" w:rsidR="002910F8" w:rsidRDefault="002910F8" w:rsidP="002910F8">
      <w:pPr>
        <w:pStyle w:val="Textbody"/>
        <w:rPr>
          <w:lang w:val="en-US"/>
        </w:rPr>
      </w:pPr>
      <w:r>
        <w:rPr>
          <w:lang w:val="en-US"/>
        </w:rPr>
        <w:t>[B.6] I</w:t>
      </w:r>
      <w:r w:rsidRPr="002910F8">
        <w:rPr>
          <w:lang w:val="en-US"/>
        </w:rPr>
        <w:t>mpact of the pandemic on staff and students and the support for students to return to regular schooling</w:t>
      </w:r>
    </w:p>
    <w:p w14:paraId="6CD153FC" w14:textId="40F472BB" w:rsidR="00187E48" w:rsidRDefault="00187E48" w:rsidP="002910F8">
      <w:pPr>
        <w:pStyle w:val="Textbody"/>
        <w:rPr>
          <w:lang w:val="en-US"/>
        </w:rPr>
      </w:pPr>
      <w:r>
        <w:rPr>
          <w:lang w:val="en-US"/>
        </w:rPr>
        <w:t xml:space="preserve">[B.7] </w:t>
      </w:r>
      <w:r w:rsidRPr="00187E48">
        <w:rPr>
          <w:lang w:val="en-US"/>
        </w:rPr>
        <w:t>Persisting challenges and implications for the future</w:t>
      </w:r>
    </w:p>
    <w:p w14:paraId="7CE259BB" w14:textId="19223F27" w:rsidR="00187E48" w:rsidRDefault="00187E48" w:rsidP="002910F8">
      <w:pPr>
        <w:pStyle w:val="Textbody"/>
        <w:rPr>
          <w:lang w:val="en-US"/>
        </w:rPr>
      </w:pPr>
      <w:r>
        <w:rPr>
          <w:lang w:val="en-US"/>
        </w:rPr>
        <w:t>[B.8] I</w:t>
      </w:r>
      <w:r w:rsidRPr="00187E48">
        <w:rPr>
          <w:lang w:val="en-US"/>
        </w:rPr>
        <w:t>mpact of the disruption on teaching and learning and on staff and students</w:t>
      </w:r>
    </w:p>
    <w:p w14:paraId="2B0A74EE" w14:textId="77777777" w:rsidR="002910F8" w:rsidRDefault="002910F8" w:rsidP="002910F8">
      <w:pPr>
        <w:pStyle w:val="Textbody"/>
        <w:rPr>
          <w:lang w:val="en-US"/>
        </w:rPr>
      </w:pPr>
    </w:p>
    <w:p w14:paraId="25645733" w14:textId="77777777" w:rsidR="002910F8" w:rsidRPr="00E81AD3" w:rsidRDefault="002910F8" w:rsidP="002910F8">
      <w:pPr>
        <w:pStyle w:val="Textbody"/>
        <w:rPr>
          <w:lang w:val="en-US"/>
        </w:rPr>
      </w:pPr>
    </w:p>
    <w:p w14:paraId="4DBF79F1" w14:textId="75D9569D" w:rsidR="002910F8" w:rsidRPr="00B06582" w:rsidRDefault="002910F8" w:rsidP="006875CA">
      <w:pPr>
        <w:pStyle w:val="Textbody"/>
        <w:rPr>
          <w:color w:val="2E74B5" w:themeColor="accent1" w:themeShade="BF"/>
        </w:rPr>
      </w:pPr>
    </w:p>
    <w:p w14:paraId="555FA64D" w14:textId="5365366B" w:rsidR="001B7A76" w:rsidRPr="00F54712" w:rsidRDefault="001B7A76" w:rsidP="001B7A76">
      <w:pPr>
        <w:pStyle w:val="B1"/>
      </w:pPr>
    </w:p>
    <w:p w14:paraId="517BC764" w14:textId="77777777" w:rsidR="009A00D6" w:rsidRPr="003420EA" w:rsidRDefault="009A00D6">
      <w:pPr>
        <w:overflowPunct/>
        <w:autoSpaceDE/>
        <w:autoSpaceDN/>
        <w:adjustRightInd/>
        <w:spacing w:after="0"/>
        <w:textAlignment w:val="auto"/>
        <w:rPr>
          <w:rStyle w:val="Guidance"/>
          <w:i w:val="0"/>
          <w:color w:val="000000" w:themeColor="text1"/>
          <w:sz w:val="18"/>
        </w:rPr>
      </w:pPr>
      <w:r>
        <w:rPr>
          <w:rStyle w:val="Guidance"/>
          <w:sz w:val="18"/>
        </w:rPr>
        <w:br w:type="page"/>
      </w:r>
    </w:p>
    <w:p w14:paraId="149D24FE" w14:textId="77777777" w:rsidR="001B7A76" w:rsidRPr="00F54712" w:rsidRDefault="001B7A76" w:rsidP="001B7A76">
      <w:pPr>
        <w:pStyle w:val="Titre9"/>
      </w:pPr>
      <w:bookmarkStart w:id="143" w:name="_Toc451532680"/>
      <w:bookmarkStart w:id="144" w:name="_Toc487531439"/>
      <w:bookmarkStart w:id="145" w:name="_Toc527986742"/>
      <w:bookmarkStart w:id="146" w:name="_Toc67666497"/>
      <w:bookmarkStart w:id="147" w:name="_Toc67667104"/>
      <w:bookmarkStart w:id="148" w:name="_Toc124754820"/>
      <w:r w:rsidRPr="00F54712">
        <w:lastRenderedPageBreak/>
        <w:t>Annex:</w:t>
      </w:r>
      <w:r w:rsidRPr="00F54712">
        <w:br/>
        <w:t>Change History</w:t>
      </w:r>
      <w:bookmarkEnd w:id="143"/>
      <w:bookmarkEnd w:id="144"/>
      <w:bookmarkEnd w:id="145"/>
      <w:bookmarkEnd w:id="146"/>
      <w:bookmarkEnd w:id="147"/>
      <w:bookmarkEnd w:id="14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54712" w14:paraId="41DF979F" w14:textId="77777777" w:rsidTr="006F4FED">
        <w:trPr>
          <w:tblHeader/>
          <w:jc w:val="center"/>
        </w:trPr>
        <w:tc>
          <w:tcPr>
            <w:tcW w:w="1566" w:type="dxa"/>
            <w:shd w:val="pct10" w:color="auto" w:fill="auto"/>
            <w:vAlign w:val="center"/>
          </w:tcPr>
          <w:p w14:paraId="6BA0D9B2" w14:textId="77777777" w:rsidR="001B7A76" w:rsidRPr="00F54712" w:rsidRDefault="001B7A76" w:rsidP="006F4FED">
            <w:pPr>
              <w:pStyle w:val="TAH"/>
            </w:pPr>
            <w:r w:rsidRPr="00F54712">
              <w:t>Date</w:t>
            </w:r>
          </w:p>
        </w:tc>
        <w:tc>
          <w:tcPr>
            <w:tcW w:w="810" w:type="dxa"/>
            <w:shd w:val="pct10" w:color="auto" w:fill="auto"/>
            <w:vAlign w:val="center"/>
          </w:tcPr>
          <w:p w14:paraId="14CC6F10" w14:textId="77777777" w:rsidR="001B7A76" w:rsidRPr="00F54712" w:rsidRDefault="001B7A76" w:rsidP="006F4FED">
            <w:pPr>
              <w:pStyle w:val="TAH"/>
            </w:pPr>
            <w:r w:rsidRPr="00F54712">
              <w:t>Version</w:t>
            </w:r>
          </w:p>
        </w:tc>
        <w:tc>
          <w:tcPr>
            <w:tcW w:w="7194" w:type="dxa"/>
            <w:shd w:val="pct10" w:color="auto" w:fill="auto"/>
            <w:vAlign w:val="center"/>
          </w:tcPr>
          <w:p w14:paraId="01CD73C9" w14:textId="77777777" w:rsidR="001B7A76" w:rsidRPr="00F54712" w:rsidRDefault="001B7A76" w:rsidP="006F4FED">
            <w:pPr>
              <w:pStyle w:val="TAH"/>
            </w:pPr>
            <w:r w:rsidRPr="00F54712">
              <w:t>Information about changes</w:t>
            </w:r>
          </w:p>
        </w:tc>
      </w:tr>
      <w:tr w:rsidR="009A00D6" w:rsidRPr="00F72149" w14:paraId="4EBEAC97" w14:textId="77777777" w:rsidTr="00EF6B47">
        <w:trPr>
          <w:jc w:val="center"/>
        </w:trPr>
        <w:tc>
          <w:tcPr>
            <w:tcW w:w="1566" w:type="dxa"/>
            <w:vAlign w:val="center"/>
          </w:tcPr>
          <w:p w14:paraId="39C8920B" w14:textId="05A3FA52" w:rsidR="009A00D6" w:rsidRPr="00F72149" w:rsidRDefault="00B42E00" w:rsidP="00EF6B47">
            <w:pPr>
              <w:pStyle w:val="TAL"/>
            </w:pPr>
            <w:r>
              <w:t>January 2023</w:t>
            </w:r>
          </w:p>
        </w:tc>
        <w:tc>
          <w:tcPr>
            <w:tcW w:w="810" w:type="dxa"/>
            <w:vAlign w:val="center"/>
          </w:tcPr>
          <w:p w14:paraId="5E979453" w14:textId="23EB581C" w:rsidR="009A00D6" w:rsidRPr="00F72149" w:rsidRDefault="00B42E00" w:rsidP="00EF6B47">
            <w:pPr>
              <w:pStyle w:val="TAC"/>
            </w:pPr>
            <w:r>
              <w:t>0.0.1</w:t>
            </w:r>
          </w:p>
        </w:tc>
        <w:tc>
          <w:tcPr>
            <w:tcW w:w="7194" w:type="dxa"/>
            <w:vAlign w:val="center"/>
          </w:tcPr>
          <w:p w14:paraId="7822164E" w14:textId="6DE12C98" w:rsidR="009A00D6" w:rsidRPr="00F72149" w:rsidRDefault="00B42E00" w:rsidP="00EF6B47">
            <w:pPr>
              <w:pStyle w:val="TAL"/>
            </w:pPr>
            <w:r>
              <w:t>Early draft (introduction)</w:t>
            </w:r>
          </w:p>
        </w:tc>
      </w:tr>
      <w:tr w:rsidR="001B7A76" w:rsidRPr="00F54712" w14:paraId="7F70C3F8" w14:textId="77777777" w:rsidTr="006F4FED">
        <w:trPr>
          <w:jc w:val="center"/>
        </w:trPr>
        <w:tc>
          <w:tcPr>
            <w:tcW w:w="1566" w:type="dxa"/>
            <w:vAlign w:val="center"/>
          </w:tcPr>
          <w:p w14:paraId="03EFF93F" w14:textId="77777777" w:rsidR="001B7A76" w:rsidRPr="00F54712" w:rsidRDefault="001B7A76" w:rsidP="006F4FED">
            <w:pPr>
              <w:pStyle w:val="TAL"/>
            </w:pPr>
          </w:p>
        </w:tc>
        <w:tc>
          <w:tcPr>
            <w:tcW w:w="810" w:type="dxa"/>
            <w:vAlign w:val="center"/>
          </w:tcPr>
          <w:p w14:paraId="283997F1" w14:textId="77777777" w:rsidR="001B7A76" w:rsidRPr="00F54712" w:rsidRDefault="001B7A76" w:rsidP="006F4FED">
            <w:pPr>
              <w:pStyle w:val="TAC"/>
            </w:pPr>
          </w:p>
        </w:tc>
        <w:tc>
          <w:tcPr>
            <w:tcW w:w="7194" w:type="dxa"/>
            <w:vAlign w:val="center"/>
          </w:tcPr>
          <w:p w14:paraId="4486B8EA" w14:textId="77777777" w:rsidR="001B7A76" w:rsidRPr="00F54712" w:rsidRDefault="001B7A76" w:rsidP="006F4FED">
            <w:pPr>
              <w:pStyle w:val="TAL"/>
            </w:pPr>
          </w:p>
        </w:tc>
      </w:tr>
      <w:tr w:rsidR="001B7A76" w:rsidRPr="00F54712" w14:paraId="7B1BB948" w14:textId="77777777" w:rsidTr="006F4FED">
        <w:trPr>
          <w:jc w:val="center"/>
        </w:trPr>
        <w:tc>
          <w:tcPr>
            <w:tcW w:w="1566" w:type="dxa"/>
            <w:vAlign w:val="center"/>
          </w:tcPr>
          <w:p w14:paraId="241AEE91" w14:textId="77777777" w:rsidR="001B7A76" w:rsidRPr="00F54712" w:rsidRDefault="001B7A76" w:rsidP="006F4FED">
            <w:pPr>
              <w:pStyle w:val="TAL"/>
            </w:pPr>
          </w:p>
        </w:tc>
        <w:tc>
          <w:tcPr>
            <w:tcW w:w="810" w:type="dxa"/>
            <w:vAlign w:val="center"/>
          </w:tcPr>
          <w:p w14:paraId="383EF2B0" w14:textId="77777777" w:rsidR="001B7A76" w:rsidRPr="00F54712" w:rsidRDefault="001B7A76" w:rsidP="006F4FED">
            <w:pPr>
              <w:pStyle w:val="TAC"/>
            </w:pPr>
          </w:p>
        </w:tc>
        <w:tc>
          <w:tcPr>
            <w:tcW w:w="7194" w:type="dxa"/>
            <w:vAlign w:val="center"/>
          </w:tcPr>
          <w:p w14:paraId="61F124C0" w14:textId="77777777" w:rsidR="001B7A76" w:rsidRPr="00F54712" w:rsidRDefault="001B7A76" w:rsidP="006F4FED">
            <w:pPr>
              <w:pStyle w:val="TAL"/>
            </w:pPr>
          </w:p>
        </w:tc>
      </w:tr>
      <w:tr w:rsidR="001B7A76" w:rsidRPr="00F54712" w14:paraId="01E351AD" w14:textId="77777777" w:rsidTr="006F4FED">
        <w:trPr>
          <w:jc w:val="center"/>
        </w:trPr>
        <w:tc>
          <w:tcPr>
            <w:tcW w:w="1566" w:type="dxa"/>
            <w:vAlign w:val="center"/>
          </w:tcPr>
          <w:p w14:paraId="719FEFB2" w14:textId="77777777" w:rsidR="001B7A76" w:rsidRPr="00F54712" w:rsidRDefault="001B7A76" w:rsidP="006F4FED">
            <w:pPr>
              <w:pStyle w:val="TAL"/>
            </w:pPr>
          </w:p>
        </w:tc>
        <w:tc>
          <w:tcPr>
            <w:tcW w:w="810" w:type="dxa"/>
            <w:vAlign w:val="center"/>
          </w:tcPr>
          <w:p w14:paraId="1FBB7946" w14:textId="77777777" w:rsidR="001B7A76" w:rsidRPr="00F54712" w:rsidRDefault="001B7A76" w:rsidP="006F4FED">
            <w:pPr>
              <w:pStyle w:val="TAC"/>
            </w:pPr>
          </w:p>
        </w:tc>
        <w:tc>
          <w:tcPr>
            <w:tcW w:w="7194" w:type="dxa"/>
            <w:vAlign w:val="center"/>
          </w:tcPr>
          <w:p w14:paraId="762844C6" w14:textId="77777777" w:rsidR="001B7A76" w:rsidRPr="00F54712" w:rsidRDefault="001B7A76" w:rsidP="006F4FED">
            <w:pPr>
              <w:pStyle w:val="TAL"/>
            </w:pPr>
          </w:p>
        </w:tc>
      </w:tr>
    </w:tbl>
    <w:p w14:paraId="08C10323" w14:textId="77777777" w:rsidR="001B7A76" w:rsidRPr="00F54712" w:rsidRDefault="001B7A76" w:rsidP="001B7A76"/>
    <w:p w14:paraId="6FA20C6A" w14:textId="77777777" w:rsidR="009A00D6" w:rsidRDefault="009A00D6">
      <w:pPr>
        <w:overflowPunct/>
        <w:autoSpaceDE/>
        <w:autoSpaceDN/>
        <w:adjustRightInd/>
        <w:spacing w:after="0"/>
        <w:textAlignment w:val="auto"/>
      </w:pPr>
      <w:r>
        <w:br w:type="page"/>
      </w:r>
    </w:p>
    <w:p w14:paraId="36C31FE8" w14:textId="77777777" w:rsidR="00070988" w:rsidRDefault="00BB6418" w:rsidP="009A00D6">
      <w:pPr>
        <w:pStyle w:val="Titre1"/>
      </w:pPr>
      <w:bookmarkStart w:id="149" w:name="_Toc451532681"/>
      <w:bookmarkStart w:id="150" w:name="_Toc487531440"/>
      <w:bookmarkStart w:id="151" w:name="_Toc527986743"/>
      <w:bookmarkStart w:id="152" w:name="_Toc67666498"/>
      <w:bookmarkStart w:id="153" w:name="_Toc67667105"/>
      <w:bookmarkStart w:id="154" w:name="_Toc124754821"/>
      <w:r w:rsidRPr="00F54712">
        <w:lastRenderedPageBreak/>
        <w:t>History</w:t>
      </w:r>
      <w:bookmarkEnd w:id="149"/>
      <w:bookmarkEnd w:id="150"/>
      <w:bookmarkEnd w:id="151"/>
      <w:bookmarkEnd w:id="152"/>
      <w:bookmarkEnd w:id="153"/>
      <w:bookmarkEnd w:id="154"/>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E05319" w:rsidRPr="00F54712" w14:paraId="39670544" w14:textId="77777777" w:rsidTr="00E07F2C">
        <w:trPr>
          <w:cantSplit/>
          <w:jc w:val="center"/>
        </w:trPr>
        <w:tc>
          <w:tcPr>
            <w:tcW w:w="9639" w:type="dxa"/>
            <w:gridSpan w:val="3"/>
            <w:hideMark/>
          </w:tcPr>
          <w:p w14:paraId="76ABD714" w14:textId="77777777" w:rsidR="00E05319" w:rsidRPr="00F54712" w:rsidRDefault="00E05319">
            <w:pPr>
              <w:keepNext/>
              <w:spacing w:before="60" w:after="60"/>
              <w:jc w:val="center"/>
              <w:rPr>
                <w:b/>
                <w:sz w:val="24"/>
              </w:rPr>
            </w:pPr>
            <w:r w:rsidRPr="00F54712">
              <w:rPr>
                <w:b/>
                <w:sz w:val="24"/>
              </w:rPr>
              <w:t>Document history</w:t>
            </w:r>
          </w:p>
        </w:tc>
      </w:tr>
      <w:tr w:rsidR="00E05319" w:rsidRPr="00F54712" w14:paraId="70591D3D" w14:textId="77777777" w:rsidTr="00E07F2C">
        <w:trPr>
          <w:cantSplit/>
          <w:jc w:val="center"/>
        </w:trPr>
        <w:tc>
          <w:tcPr>
            <w:tcW w:w="1247" w:type="dxa"/>
            <w:hideMark/>
          </w:tcPr>
          <w:p w14:paraId="4041C3DD" w14:textId="77777777" w:rsidR="00E05319" w:rsidRPr="00F54712" w:rsidRDefault="00E05319">
            <w:pPr>
              <w:pStyle w:val="FP"/>
              <w:keepNext/>
              <w:spacing w:before="80" w:after="80"/>
              <w:ind w:left="57"/>
            </w:pPr>
            <w:r w:rsidRPr="00F54712">
              <w:t>&lt;Version&gt;</w:t>
            </w:r>
          </w:p>
        </w:tc>
        <w:tc>
          <w:tcPr>
            <w:tcW w:w="1588" w:type="dxa"/>
            <w:hideMark/>
          </w:tcPr>
          <w:p w14:paraId="3603DE09" w14:textId="77777777" w:rsidR="00E05319" w:rsidRPr="00F54712" w:rsidRDefault="00E05319">
            <w:pPr>
              <w:pStyle w:val="FP"/>
              <w:keepNext/>
              <w:spacing w:before="80" w:after="80"/>
              <w:ind w:left="57"/>
            </w:pPr>
            <w:r w:rsidRPr="00F54712">
              <w:t>&lt;Date&gt;</w:t>
            </w:r>
          </w:p>
        </w:tc>
        <w:tc>
          <w:tcPr>
            <w:tcW w:w="6804" w:type="dxa"/>
            <w:hideMark/>
          </w:tcPr>
          <w:p w14:paraId="4D69D68F" w14:textId="77777777" w:rsidR="00E05319" w:rsidRPr="00F54712" w:rsidRDefault="00E05319">
            <w:pPr>
              <w:pStyle w:val="FP"/>
              <w:keepNext/>
              <w:tabs>
                <w:tab w:val="left" w:pos="3118"/>
              </w:tabs>
              <w:spacing w:before="80" w:after="80"/>
              <w:ind w:left="57"/>
            </w:pPr>
            <w:r w:rsidRPr="00F54712">
              <w:t>&lt;Milestone&gt;</w:t>
            </w:r>
          </w:p>
        </w:tc>
      </w:tr>
      <w:tr w:rsidR="00E05319" w:rsidRPr="00F54712" w14:paraId="41840B00" w14:textId="77777777" w:rsidTr="00E07F2C">
        <w:trPr>
          <w:cantSplit/>
          <w:jc w:val="center"/>
        </w:trPr>
        <w:tc>
          <w:tcPr>
            <w:tcW w:w="1247" w:type="dxa"/>
          </w:tcPr>
          <w:p w14:paraId="25C39F94" w14:textId="77777777" w:rsidR="00E05319" w:rsidRPr="00F54712" w:rsidRDefault="00E05319">
            <w:pPr>
              <w:pStyle w:val="FP"/>
              <w:keepNext/>
              <w:spacing w:before="80" w:after="80"/>
              <w:ind w:left="57"/>
            </w:pPr>
          </w:p>
        </w:tc>
        <w:tc>
          <w:tcPr>
            <w:tcW w:w="1588" w:type="dxa"/>
          </w:tcPr>
          <w:p w14:paraId="5CCDB254" w14:textId="77777777" w:rsidR="00E05319" w:rsidRPr="00F54712" w:rsidRDefault="00E05319">
            <w:pPr>
              <w:pStyle w:val="FP"/>
              <w:keepNext/>
              <w:spacing w:before="80" w:after="80"/>
              <w:ind w:left="57"/>
            </w:pPr>
          </w:p>
        </w:tc>
        <w:tc>
          <w:tcPr>
            <w:tcW w:w="6804" w:type="dxa"/>
          </w:tcPr>
          <w:p w14:paraId="5A3F17E1" w14:textId="77777777" w:rsidR="00E05319" w:rsidRPr="00F54712" w:rsidRDefault="00E05319">
            <w:pPr>
              <w:pStyle w:val="FP"/>
              <w:keepNext/>
              <w:tabs>
                <w:tab w:val="left" w:pos="3118"/>
              </w:tabs>
              <w:spacing w:before="80" w:after="80"/>
              <w:ind w:left="57"/>
            </w:pPr>
          </w:p>
        </w:tc>
      </w:tr>
      <w:tr w:rsidR="00E05319" w:rsidRPr="00F54712" w14:paraId="70CD9AE0" w14:textId="77777777" w:rsidTr="00E07F2C">
        <w:trPr>
          <w:cantSplit/>
          <w:jc w:val="center"/>
        </w:trPr>
        <w:tc>
          <w:tcPr>
            <w:tcW w:w="1247" w:type="dxa"/>
          </w:tcPr>
          <w:p w14:paraId="01A6C6EF" w14:textId="77777777" w:rsidR="00E05319" w:rsidRPr="00F54712" w:rsidRDefault="00E05319">
            <w:pPr>
              <w:pStyle w:val="FP"/>
              <w:keepNext/>
              <w:spacing w:before="80" w:after="80"/>
              <w:ind w:left="57"/>
            </w:pPr>
          </w:p>
        </w:tc>
        <w:tc>
          <w:tcPr>
            <w:tcW w:w="1588" w:type="dxa"/>
          </w:tcPr>
          <w:p w14:paraId="762A80AF" w14:textId="77777777" w:rsidR="00E05319" w:rsidRPr="00F54712" w:rsidRDefault="00E05319">
            <w:pPr>
              <w:pStyle w:val="FP"/>
              <w:keepNext/>
              <w:spacing w:before="80" w:after="80"/>
              <w:ind w:left="57"/>
            </w:pPr>
          </w:p>
        </w:tc>
        <w:tc>
          <w:tcPr>
            <w:tcW w:w="6804" w:type="dxa"/>
          </w:tcPr>
          <w:p w14:paraId="5797ACD0" w14:textId="77777777" w:rsidR="00E05319" w:rsidRPr="00F54712" w:rsidRDefault="00E05319">
            <w:pPr>
              <w:pStyle w:val="FP"/>
              <w:keepNext/>
              <w:tabs>
                <w:tab w:val="left" w:pos="3261"/>
                <w:tab w:val="left" w:pos="4395"/>
              </w:tabs>
              <w:spacing w:before="80" w:after="80"/>
              <w:ind w:left="57"/>
            </w:pPr>
          </w:p>
        </w:tc>
      </w:tr>
      <w:tr w:rsidR="00E05319" w:rsidRPr="00F54712" w14:paraId="19B64208" w14:textId="77777777" w:rsidTr="00E07F2C">
        <w:trPr>
          <w:cantSplit/>
          <w:jc w:val="center"/>
        </w:trPr>
        <w:tc>
          <w:tcPr>
            <w:tcW w:w="1247" w:type="dxa"/>
          </w:tcPr>
          <w:p w14:paraId="1ABB721F" w14:textId="77777777" w:rsidR="00E05319" w:rsidRPr="00F54712" w:rsidRDefault="00E05319">
            <w:pPr>
              <w:pStyle w:val="FP"/>
              <w:spacing w:before="80" w:after="80"/>
              <w:ind w:left="57"/>
            </w:pPr>
          </w:p>
        </w:tc>
        <w:tc>
          <w:tcPr>
            <w:tcW w:w="1588" w:type="dxa"/>
          </w:tcPr>
          <w:p w14:paraId="2415D4B9" w14:textId="77777777" w:rsidR="00E05319" w:rsidRPr="00F54712" w:rsidRDefault="00E05319">
            <w:pPr>
              <w:pStyle w:val="FP"/>
              <w:spacing w:before="80" w:after="80"/>
              <w:ind w:left="57"/>
            </w:pPr>
          </w:p>
        </w:tc>
        <w:tc>
          <w:tcPr>
            <w:tcW w:w="6804" w:type="dxa"/>
          </w:tcPr>
          <w:p w14:paraId="748E7F4A" w14:textId="77777777" w:rsidR="00E05319" w:rsidRPr="00F54712" w:rsidRDefault="00E05319">
            <w:pPr>
              <w:pStyle w:val="FP"/>
              <w:tabs>
                <w:tab w:val="left" w:pos="3261"/>
                <w:tab w:val="left" w:pos="4395"/>
              </w:tabs>
              <w:spacing w:before="80" w:after="80"/>
              <w:ind w:left="57"/>
            </w:pPr>
          </w:p>
        </w:tc>
      </w:tr>
      <w:tr w:rsidR="00E05319" w:rsidRPr="00F54712" w14:paraId="0F1E1FB1" w14:textId="77777777" w:rsidTr="00E07F2C">
        <w:trPr>
          <w:cantSplit/>
          <w:jc w:val="center"/>
        </w:trPr>
        <w:tc>
          <w:tcPr>
            <w:tcW w:w="1247" w:type="dxa"/>
          </w:tcPr>
          <w:p w14:paraId="000FE209" w14:textId="77777777" w:rsidR="00E05319" w:rsidRPr="00F54712" w:rsidRDefault="00E05319">
            <w:pPr>
              <w:pStyle w:val="FP"/>
              <w:spacing w:before="80" w:after="80"/>
              <w:ind w:left="57"/>
            </w:pPr>
          </w:p>
        </w:tc>
        <w:tc>
          <w:tcPr>
            <w:tcW w:w="1588" w:type="dxa"/>
          </w:tcPr>
          <w:p w14:paraId="7C5F1E6D" w14:textId="77777777" w:rsidR="00E05319" w:rsidRPr="00F54712" w:rsidRDefault="00E05319">
            <w:pPr>
              <w:pStyle w:val="FP"/>
              <w:spacing w:before="80" w:after="80"/>
              <w:ind w:left="57"/>
            </w:pPr>
          </w:p>
        </w:tc>
        <w:tc>
          <w:tcPr>
            <w:tcW w:w="6804" w:type="dxa"/>
          </w:tcPr>
          <w:p w14:paraId="681F2D6A" w14:textId="77777777" w:rsidR="00E05319" w:rsidRPr="00F54712" w:rsidRDefault="00E05319">
            <w:pPr>
              <w:pStyle w:val="FP"/>
              <w:tabs>
                <w:tab w:val="left" w:pos="3261"/>
                <w:tab w:val="left" w:pos="4395"/>
              </w:tabs>
              <w:spacing w:before="80" w:after="80"/>
              <w:ind w:left="57"/>
            </w:pPr>
          </w:p>
        </w:tc>
      </w:tr>
    </w:tbl>
    <w:p w14:paraId="11B27729" w14:textId="77777777" w:rsidR="00E05319" w:rsidRPr="00F54712" w:rsidRDefault="00E05319" w:rsidP="00E05319"/>
    <w:p w14:paraId="069219AB" w14:textId="0EC93296" w:rsidR="00E05319" w:rsidRPr="00F54712" w:rsidRDefault="000024A1" w:rsidP="00172200">
      <w:pPr>
        <w:rPr>
          <w:rFonts w:ascii="Arial" w:hAnsi="Arial" w:cs="Arial"/>
          <w:i/>
          <w:color w:val="76923C"/>
          <w:sz w:val="18"/>
          <w:szCs w:val="18"/>
        </w:rPr>
      </w:pPr>
      <w:r>
        <w:rPr>
          <w:rFonts w:ascii="Arial" w:hAnsi="Arial" w:cs="Arial"/>
          <w:i/>
          <w:color w:val="76923C"/>
          <w:sz w:val="18"/>
          <w:szCs w:val="18"/>
        </w:rPr>
        <w:t xml:space="preserve">Latest changes made on </w:t>
      </w:r>
      <w:r w:rsidR="000F1956">
        <w:rPr>
          <w:rFonts w:ascii="Arial" w:hAnsi="Arial" w:cs="Arial"/>
          <w:i/>
          <w:color w:val="76923C"/>
          <w:sz w:val="18"/>
          <w:szCs w:val="18"/>
        </w:rPr>
        <w:t>2022</w:t>
      </w:r>
      <w:r w:rsidR="003420EA">
        <w:rPr>
          <w:rFonts w:ascii="Arial" w:hAnsi="Arial" w:cs="Arial"/>
          <w:i/>
          <w:color w:val="76923C"/>
          <w:sz w:val="18"/>
          <w:szCs w:val="18"/>
        </w:rPr>
        <w:t>-</w:t>
      </w:r>
      <w:r w:rsidR="000F1956">
        <w:rPr>
          <w:rFonts w:ascii="Arial" w:hAnsi="Arial" w:cs="Arial"/>
          <w:i/>
          <w:color w:val="76923C"/>
          <w:sz w:val="18"/>
          <w:szCs w:val="18"/>
        </w:rPr>
        <w:t>03</w:t>
      </w:r>
      <w:r w:rsidR="0039719E">
        <w:rPr>
          <w:rFonts w:ascii="Arial" w:hAnsi="Arial" w:cs="Arial"/>
          <w:i/>
          <w:color w:val="76923C"/>
          <w:sz w:val="18"/>
          <w:szCs w:val="18"/>
        </w:rPr>
        <w:t>-</w:t>
      </w:r>
      <w:r w:rsidR="000F1956">
        <w:rPr>
          <w:rFonts w:ascii="Arial" w:hAnsi="Arial" w:cs="Arial"/>
          <w:i/>
          <w:color w:val="76923C"/>
          <w:sz w:val="18"/>
          <w:szCs w:val="18"/>
        </w:rPr>
        <w:t>14</w:t>
      </w:r>
    </w:p>
    <w:sectPr w:rsidR="00E05319" w:rsidRPr="00F54712">
      <w:headerReference w:type="default" r:id="rId25"/>
      <w:footerReference w:type="default" r:id="rId26"/>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B4F0" w14:textId="77777777" w:rsidR="005940EE" w:rsidRDefault="005940EE">
      <w:r>
        <w:separator/>
      </w:r>
    </w:p>
  </w:endnote>
  <w:endnote w:type="continuationSeparator" w:id="0">
    <w:p w14:paraId="6CCD88F8" w14:textId="77777777" w:rsidR="005940EE" w:rsidRDefault="0059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5B6F" w14:textId="77777777" w:rsidR="00E64F32" w:rsidRDefault="00E64F32">
    <w:pPr>
      <w:pStyle w:val="Pieddepage"/>
    </w:pPr>
  </w:p>
  <w:p w14:paraId="730E9B45" w14:textId="77777777" w:rsidR="00E64F32" w:rsidRDefault="00E64F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8B88" w14:textId="77777777" w:rsidR="00E64F32" w:rsidRDefault="00E64F32">
    <w:pPr>
      <w:pStyle w:val="Pieddepag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2D21" w14:textId="77777777" w:rsidR="005940EE" w:rsidRDefault="005940EE">
      <w:r>
        <w:separator/>
      </w:r>
    </w:p>
  </w:footnote>
  <w:footnote w:type="continuationSeparator" w:id="0">
    <w:p w14:paraId="4E71D421" w14:textId="77777777" w:rsidR="005940EE" w:rsidRDefault="0059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EA7A" w14:textId="77777777" w:rsidR="00E64F32" w:rsidRDefault="00E64F32">
    <w:pPr>
      <w:pStyle w:val="En-tte"/>
    </w:pPr>
    <w:r>
      <w:rPr>
        <w:lang w:eastAsia="en-GB"/>
      </w:rPr>
      <w:drawing>
        <wp:anchor distT="0" distB="0" distL="114300" distR="114300" simplePos="0" relativeHeight="251657728" behindDoc="1" locked="0" layoutInCell="1" allowOverlap="1" wp14:anchorId="2B644FEA" wp14:editId="425A9887">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8129" w14:textId="1D450DA3" w:rsidR="00E64F32" w:rsidRDefault="00E64F32">
    <w:pPr>
      <w:pStyle w:val="En-tte"/>
      <w:framePr w:wrap="auto" w:vAnchor="text" w:hAnchor="margin" w:xAlign="right" w:y="1"/>
    </w:pPr>
    <w:r>
      <w:fldChar w:fldCharType="begin"/>
    </w:r>
    <w:r>
      <w:instrText xml:space="preserve">styleref ZA </w:instrText>
    </w:r>
    <w:r>
      <w:fldChar w:fldCharType="separate"/>
    </w:r>
    <w:r w:rsidR="00257D61">
      <w:t>ETSI TR 1DD DDD V0.0.1 (2023-01)</w:t>
    </w:r>
    <w:r>
      <w:fldChar w:fldCharType="end"/>
    </w:r>
  </w:p>
  <w:p w14:paraId="3F73D2AB" w14:textId="77777777" w:rsidR="00E64F32" w:rsidRDefault="00E64F32">
    <w:pPr>
      <w:pStyle w:val="En-tte"/>
      <w:framePr w:wrap="auto" w:vAnchor="text" w:hAnchor="margin" w:xAlign="center" w:y="1"/>
    </w:pPr>
    <w:r>
      <w:fldChar w:fldCharType="begin"/>
    </w:r>
    <w:r>
      <w:instrText xml:space="preserve">page </w:instrText>
    </w:r>
    <w:r>
      <w:fldChar w:fldCharType="separate"/>
    </w:r>
    <w:r w:rsidR="001F09A0">
      <w:t>6</w:t>
    </w:r>
    <w:r>
      <w:fldChar w:fldCharType="end"/>
    </w:r>
  </w:p>
  <w:p w14:paraId="5965BC9E" w14:textId="237929DF" w:rsidR="00E64F32" w:rsidRDefault="00E64F32" w:rsidP="00723D0A">
    <w:pPr>
      <w:pStyle w:val="En-tte"/>
      <w:framePr w:wrap="auto" w:vAnchor="text" w:hAnchor="margin" w:y="1"/>
    </w:pPr>
    <w:r>
      <w:fldChar w:fldCharType="begin"/>
    </w:r>
    <w:r>
      <w:instrText xml:space="preserve">styleref ZGSM </w:instrText>
    </w:r>
    <w:r>
      <w:fldChar w:fldCharType="end"/>
    </w:r>
  </w:p>
  <w:p w14:paraId="2F01D2B7" w14:textId="77777777" w:rsidR="00E64F32" w:rsidRDefault="00E64F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623424"/>
    <w:multiLevelType w:val="multilevel"/>
    <w:tmpl w:val="F060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F66F8E"/>
    <w:multiLevelType w:val="hybridMultilevel"/>
    <w:tmpl w:val="A5E6FA0A"/>
    <w:lvl w:ilvl="0" w:tplc="922AEF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735656"/>
    <w:multiLevelType w:val="multilevel"/>
    <w:tmpl w:val="D63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0E2A2D"/>
    <w:multiLevelType w:val="multilevel"/>
    <w:tmpl w:val="724C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46408382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366295648">
    <w:abstractNumId w:val="22"/>
  </w:num>
  <w:num w:numId="3" w16cid:durableId="718358892">
    <w:abstractNumId w:val="39"/>
  </w:num>
  <w:num w:numId="4" w16cid:durableId="783690082">
    <w:abstractNumId w:val="15"/>
  </w:num>
  <w:num w:numId="5" w16cid:durableId="728303660">
    <w:abstractNumId w:val="25"/>
  </w:num>
  <w:num w:numId="6" w16cid:durableId="827130481">
    <w:abstractNumId w:val="33"/>
  </w:num>
  <w:num w:numId="7" w16cid:durableId="1088160849">
    <w:abstractNumId w:val="10"/>
    <w:lvlOverride w:ilvl="0">
      <w:lvl w:ilvl="0">
        <w:numFmt w:val="bullet"/>
        <w:lvlText w:val=""/>
        <w:legacy w:legacy="1" w:legacySpace="0" w:legacyIndent="0"/>
        <w:lvlJc w:val="left"/>
        <w:rPr>
          <w:rFonts w:ascii="Symbol" w:hAnsi="Symbol" w:hint="default"/>
        </w:rPr>
      </w:lvl>
    </w:lvlOverride>
  </w:num>
  <w:num w:numId="8" w16cid:durableId="915673752">
    <w:abstractNumId w:val="2"/>
  </w:num>
  <w:num w:numId="9" w16cid:durableId="212426884">
    <w:abstractNumId w:val="1"/>
  </w:num>
  <w:num w:numId="10" w16cid:durableId="1806854486">
    <w:abstractNumId w:val="0"/>
  </w:num>
  <w:num w:numId="11" w16cid:durableId="29112953">
    <w:abstractNumId w:val="32"/>
  </w:num>
  <w:num w:numId="12" w16cid:durableId="203835162">
    <w:abstractNumId w:val="28"/>
  </w:num>
  <w:num w:numId="13" w16cid:durableId="2003116127">
    <w:abstractNumId w:val="27"/>
  </w:num>
  <w:num w:numId="14" w16cid:durableId="1601642879">
    <w:abstractNumId w:val="9"/>
  </w:num>
  <w:num w:numId="15" w16cid:durableId="1223982149">
    <w:abstractNumId w:val="7"/>
  </w:num>
  <w:num w:numId="16" w16cid:durableId="1589652868">
    <w:abstractNumId w:val="6"/>
  </w:num>
  <w:num w:numId="17" w16cid:durableId="759450523">
    <w:abstractNumId w:val="5"/>
  </w:num>
  <w:num w:numId="18" w16cid:durableId="642001203">
    <w:abstractNumId w:val="4"/>
  </w:num>
  <w:num w:numId="19" w16cid:durableId="2074693171">
    <w:abstractNumId w:val="8"/>
  </w:num>
  <w:num w:numId="20" w16cid:durableId="1862621510">
    <w:abstractNumId w:val="3"/>
  </w:num>
  <w:num w:numId="21" w16cid:durableId="1225415125">
    <w:abstractNumId w:val="20"/>
  </w:num>
  <w:num w:numId="22" w16cid:durableId="1558593195">
    <w:abstractNumId w:val="35"/>
  </w:num>
  <w:num w:numId="23" w16cid:durableId="1912084446">
    <w:abstractNumId w:val="30"/>
  </w:num>
  <w:num w:numId="24" w16cid:durableId="1363478024">
    <w:abstractNumId w:val="34"/>
  </w:num>
  <w:num w:numId="25" w16cid:durableId="555825057">
    <w:abstractNumId w:val="19"/>
  </w:num>
  <w:num w:numId="26" w16cid:durableId="478226311">
    <w:abstractNumId w:val="14"/>
  </w:num>
  <w:num w:numId="27" w16cid:durableId="892734575">
    <w:abstractNumId w:val="17"/>
  </w:num>
  <w:num w:numId="28" w16cid:durableId="1604994946">
    <w:abstractNumId w:val="31"/>
  </w:num>
  <w:num w:numId="29" w16cid:durableId="585844691">
    <w:abstractNumId w:val="37"/>
  </w:num>
  <w:num w:numId="30" w16cid:durableId="1539390995">
    <w:abstractNumId w:val="26"/>
  </w:num>
  <w:num w:numId="31" w16cid:durableId="258414478">
    <w:abstractNumId w:val="12"/>
  </w:num>
  <w:num w:numId="32" w16cid:durableId="759105350">
    <w:abstractNumId w:val="29"/>
  </w:num>
  <w:num w:numId="33" w16cid:durableId="646520497">
    <w:abstractNumId w:val="18"/>
  </w:num>
  <w:num w:numId="34" w16cid:durableId="1391347110">
    <w:abstractNumId w:val="24"/>
  </w:num>
  <w:num w:numId="35" w16cid:durableId="166405679">
    <w:abstractNumId w:val="36"/>
  </w:num>
  <w:num w:numId="36" w16cid:durableId="682905112">
    <w:abstractNumId w:val="11"/>
  </w:num>
  <w:num w:numId="37" w16cid:durableId="50177618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7945133">
    <w:abstractNumId w:val="38"/>
  </w:num>
  <w:num w:numId="39" w16cid:durableId="1584413459">
    <w:abstractNumId w:val="40"/>
  </w:num>
  <w:num w:numId="40" w16cid:durableId="1136794302">
    <w:abstractNumId w:val="23"/>
  </w:num>
  <w:num w:numId="41" w16cid:durableId="494345657">
    <w:abstractNumId w:val="13"/>
  </w:num>
  <w:num w:numId="42" w16cid:durableId="37055805">
    <w:abstractNumId w:val="21"/>
  </w:num>
  <w:num w:numId="43" w16cid:durableId="15130315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47C"/>
    <w:rsid w:val="000024A1"/>
    <w:rsid w:val="0000384D"/>
    <w:rsid w:val="000117CE"/>
    <w:rsid w:val="000263AD"/>
    <w:rsid w:val="000665AE"/>
    <w:rsid w:val="00070988"/>
    <w:rsid w:val="00072C17"/>
    <w:rsid w:val="00084C42"/>
    <w:rsid w:val="000B4170"/>
    <w:rsid w:val="000C7A56"/>
    <w:rsid w:val="000F1956"/>
    <w:rsid w:val="001042A3"/>
    <w:rsid w:val="00113FCA"/>
    <w:rsid w:val="00116979"/>
    <w:rsid w:val="00132FE7"/>
    <w:rsid w:val="001611EE"/>
    <w:rsid w:val="0016424C"/>
    <w:rsid w:val="00172200"/>
    <w:rsid w:val="00183204"/>
    <w:rsid w:val="00187E48"/>
    <w:rsid w:val="00195FCE"/>
    <w:rsid w:val="001B7A76"/>
    <w:rsid w:val="001C0F3F"/>
    <w:rsid w:val="001C5D2C"/>
    <w:rsid w:val="001E5F05"/>
    <w:rsid w:val="001E7509"/>
    <w:rsid w:val="001F09A0"/>
    <w:rsid w:val="00213885"/>
    <w:rsid w:val="002149F6"/>
    <w:rsid w:val="00234A51"/>
    <w:rsid w:val="00234C60"/>
    <w:rsid w:val="00257D61"/>
    <w:rsid w:val="00260104"/>
    <w:rsid w:val="002669AD"/>
    <w:rsid w:val="002676FD"/>
    <w:rsid w:val="00274700"/>
    <w:rsid w:val="002910F8"/>
    <w:rsid w:val="002A29DD"/>
    <w:rsid w:val="002C31BD"/>
    <w:rsid w:val="002E6D6E"/>
    <w:rsid w:val="002F53DE"/>
    <w:rsid w:val="003167CA"/>
    <w:rsid w:val="003270B8"/>
    <w:rsid w:val="003420EA"/>
    <w:rsid w:val="00395767"/>
    <w:rsid w:val="0039719E"/>
    <w:rsid w:val="003971C1"/>
    <w:rsid w:val="003D6202"/>
    <w:rsid w:val="003F539C"/>
    <w:rsid w:val="00404BA5"/>
    <w:rsid w:val="00410C83"/>
    <w:rsid w:val="00414E11"/>
    <w:rsid w:val="00436775"/>
    <w:rsid w:val="00454E34"/>
    <w:rsid w:val="0046449A"/>
    <w:rsid w:val="0049555D"/>
    <w:rsid w:val="004A1E38"/>
    <w:rsid w:val="004B21DC"/>
    <w:rsid w:val="004B2C68"/>
    <w:rsid w:val="004E02A9"/>
    <w:rsid w:val="00513AE8"/>
    <w:rsid w:val="00525905"/>
    <w:rsid w:val="0052735A"/>
    <w:rsid w:val="005453D4"/>
    <w:rsid w:val="00564D7A"/>
    <w:rsid w:val="0056624A"/>
    <w:rsid w:val="00572161"/>
    <w:rsid w:val="005726D2"/>
    <w:rsid w:val="00576227"/>
    <w:rsid w:val="005940EE"/>
    <w:rsid w:val="0059474F"/>
    <w:rsid w:val="00596098"/>
    <w:rsid w:val="005A7A5E"/>
    <w:rsid w:val="005D782E"/>
    <w:rsid w:val="005E1047"/>
    <w:rsid w:val="005E3D62"/>
    <w:rsid w:val="005E6B71"/>
    <w:rsid w:val="005F119B"/>
    <w:rsid w:val="00633F42"/>
    <w:rsid w:val="00640591"/>
    <w:rsid w:val="0064785C"/>
    <w:rsid w:val="0065180D"/>
    <w:rsid w:val="00653A3B"/>
    <w:rsid w:val="006613A1"/>
    <w:rsid w:val="00663363"/>
    <w:rsid w:val="00667EEB"/>
    <w:rsid w:val="00672201"/>
    <w:rsid w:val="006875CA"/>
    <w:rsid w:val="006B4E7B"/>
    <w:rsid w:val="006D33F2"/>
    <w:rsid w:val="006F4FED"/>
    <w:rsid w:val="00703E81"/>
    <w:rsid w:val="00705B87"/>
    <w:rsid w:val="00723D0A"/>
    <w:rsid w:val="00726AD4"/>
    <w:rsid w:val="00730BFF"/>
    <w:rsid w:val="00735655"/>
    <w:rsid w:val="00743F24"/>
    <w:rsid w:val="00745924"/>
    <w:rsid w:val="007462C1"/>
    <w:rsid w:val="00755B41"/>
    <w:rsid w:val="00770B5E"/>
    <w:rsid w:val="00781286"/>
    <w:rsid w:val="00787554"/>
    <w:rsid w:val="007A49E3"/>
    <w:rsid w:val="007B55FC"/>
    <w:rsid w:val="007B6130"/>
    <w:rsid w:val="007C2C07"/>
    <w:rsid w:val="007C5205"/>
    <w:rsid w:val="007E501E"/>
    <w:rsid w:val="007F21F3"/>
    <w:rsid w:val="007F245D"/>
    <w:rsid w:val="00810C6B"/>
    <w:rsid w:val="0082119F"/>
    <w:rsid w:val="0084417D"/>
    <w:rsid w:val="00844F29"/>
    <w:rsid w:val="00866A3B"/>
    <w:rsid w:val="00882573"/>
    <w:rsid w:val="008849A4"/>
    <w:rsid w:val="0088610D"/>
    <w:rsid w:val="008C4DA6"/>
    <w:rsid w:val="008F02D3"/>
    <w:rsid w:val="008F1C6A"/>
    <w:rsid w:val="00952A8B"/>
    <w:rsid w:val="009732FF"/>
    <w:rsid w:val="00995BDD"/>
    <w:rsid w:val="009A00D6"/>
    <w:rsid w:val="009A2D0B"/>
    <w:rsid w:val="009B2B5E"/>
    <w:rsid w:val="009B78A9"/>
    <w:rsid w:val="009C53BA"/>
    <w:rsid w:val="009F2CD4"/>
    <w:rsid w:val="00A011D6"/>
    <w:rsid w:val="00A15DE7"/>
    <w:rsid w:val="00A200F0"/>
    <w:rsid w:val="00A33D92"/>
    <w:rsid w:val="00A6262E"/>
    <w:rsid w:val="00AC48D7"/>
    <w:rsid w:val="00AC7143"/>
    <w:rsid w:val="00AC7216"/>
    <w:rsid w:val="00AE2D24"/>
    <w:rsid w:val="00B1314D"/>
    <w:rsid w:val="00B42E00"/>
    <w:rsid w:val="00B6424A"/>
    <w:rsid w:val="00B65DF0"/>
    <w:rsid w:val="00B65F38"/>
    <w:rsid w:val="00B73DE0"/>
    <w:rsid w:val="00B7459C"/>
    <w:rsid w:val="00BA6835"/>
    <w:rsid w:val="00BB4716"/>
    <w:rsid w:val="00BB6418"/>
    <w:rsid w:val="00BC0A87"/>
    <w:rsid w:val="00BC33F7"/>
    <w:rsid w:val="00BD2C8E"/>
    <w:rsid w:val="00BE12DA"/>
    <w:rsid w:val="00BE1693"/>
    <w:rsid w:val="00BF4918"/>
    <w:rsid w:val="00C05E06"/>
    <w:rsid w:val="00C25BC9"/>
    <w:rsid w:val="00C35B43"/>
    <w:rsid w:val="00C455AC"/>
    <w:rsid w:val="00C62AE6"/>
    <w:rsid w:val="00C70254"/>
    <w:rsid w:val="00CA5839"/>
    <w:rsid w:val="00CC3B89"/>
    <w:rsid w:val="00CD386D"/>
    <w:rsid w:val="00CD64C2"/>
    <w:rsid w:val="00D35D58"/>
    <w:rsid w:val="00D44988"/>
    <w:rsid w:val="00D66E38"/>
    <w:rsid w:val="00D7365C"/>
    <w:rsid w:val="00D778F4"/>
    <w:rsid w:val="00D80795"/>
    <w:rsid w:val="00D83CB3"/>
    <w:rsid w:val="00D8589E"/>
    <w:rsid w:val="00DC72AE"/>
    <w:rsid w:val="00DD2DA2"/>
    <w:rsid w:val="00DD456D"/>
    <w:rsid w:val="00DD4BC8"/>
    <w:rsid w:val="00DF2B60"/>
    <w:rsid w:val="00DF2CF3"/>
    <w:rsid w:val="00DF460F"/>
    <w:rsid w:val="00E05319"/>
    <w:rsid w:val="00E07F2C"/>
    <w:rsid w:val="00E237E1"/>
    <w:rsid w:val="00E33D4C"/>
    <w:rsid w:val="00E64F32"/>
    <w:rsid w:val="00E925F7"/>
    <w:rsid w:val="00E95952"/>
    <w:rsid w:val="00EA45D8"/>
    <w:rsid w:val="00EA530F"/>
    <w:rsid w:val="00EB32FF"/>
    <w:rsid w:val="00ED6366"/>
    <w:rsid w:val="00EF08C3"/>
    <w:rsid w:val="00F12DD3"/>
    <w:rsid w:val="00F4163E"/>
    <w:rsid w:val="00F4172F"/>
    <w:rsid w:val="00F440E3"/>
    <w:rsid w:val="00F4562F"/>
    <w:rsid w:val="00F54712"/>
    <w:rsid w:val="00F57D30"/>
    <w:rsid w:val="00F90F7B"/>
    <w:rsid w:val="00FC17F5"/>
    <w:rsid w:val="00FC189A"/>
    <w:rsid w:val="00FD4016"/>
    <w:rsid w:val="00FF500A"/>
    <w:rsid w:val="00FF509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35304"/>
  <w15:chartTrackingRefBased/>
  <w15:docId w15:val="{C1051BDD-37D6-4C1F-9565-927123E5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ED6366"/>
    <w:pPr>
      <w:pBdr>
        <w:top w:val="none" w:sz="0" w:space="0" w:color="auto"/>
      </w:pBdr>
      <w:spacing w:before="180"/>
      <w:outlineLvl w:val="1"/>
    </w:pPr>
    <w:rPr>
      <w:sz w:val="32"/>
    </w:rPr>
  </w:style>
  <w:style w:type="paragraph" w:styleId="Titre3">
    <w:name w:val="heading 3"/>
    <w:basedOn w:val="Titre2"/>
    <w:next w:val="Normal"/>
    <w:qFormat/>
    <w:rsid w:val="00ED6366"/>
    <w:pPr>
      <w:spacing w:before="120"/>
      <w:outlineLvl w:val="2"/>
    </w:pPr>
    <w:rPr>
      <w:sz w:val="28"/>
    </w:rPr>
  </w:style>
  <w:style w:type="paragraph" w:styleId="Titre4">
    <w:name w:val="heading 4"/>
    <w:basedOn w:val="Titre3"/>
    <w:next w:val="Normal"/>
    <w:qFormat/>
    <w:rsid w:val="00ED6366"/>
    <w:pPr>
      <w:ind w:left="1418" w:hanging="1418"/>
      <w:outlineLvl w:val="3"/>
    </w:pPr>
    <w:rPr>
      <w:sz w:val="24"/>
    </w:rPr>
  </w:style>
  <w:style w:type="paragraph" w:styleId="Titre5">
    <w:name w:val="heading 5"/>
    <w:basedOn w:val="Titre4"/>
    <w:next w:val="Normal"/>
    <w:qFormat/>
    <w:rsid w:val="00ED6366"/>
    <w:pPr>
      <w:ind w:left="1701" w:hanging="1701"/>
      <w:outlineLvl w:val="4"/>
    </w:pPr>
    <w:rPr>
      <w:sz w:val="22"/>
    </w:rPr>
  </w:style>
  <w:style w:type="paragraph" w:styleId="Titre6">
    <w:name w:val="heading 6"/>
    <w:basedOn w:val="H6"/>
    <w:next w:val="Normal"/>
    <w:qFormat/>
    <w:rsid w:val="00ED6366"/>
    <w:pPr>
      <w:outlineLvl w:val="5"/>
    </w:pPr>
  </w:style>
  <w:style w:type="paragraph" w:styleId="Titre7">
    <w:name w:val="heading 7"/>
    <w:basedOn w:val="H6"/>
    <w:next w:val="Normal"/>
    <w:qFormat/>
    <w:rsid w:val="00ED6366"/>
    <w:pPr>
      <w:outlineLvl w:val="6"/>
    </w:pPr>
  </w:style>
  <w:style w:type="paragraph" w:styleId="Titre8">
    <w:name w:val="heading 8"/>
    <w:basedOn w:val="Titre1"/>
    <w:next w:val="Normal"/>
    <w:link w:val="Titre8Car"/>
    <w:qFormat/>
    <w:rsid w:val="00ED6366"/>
    <w:pPr>
      <w:ind w:left="0" w:firstLine="0"/>
      <w:outlineLvl w:val="7"/>
    </w:pPr>
  </w:style>
  <w:style w:type="paragraph" w:styleId="Titre9">
    <w:name w:val="heading 9"/>
    <w:basedOn w:val="Titre8"/>
    <w:next w:val="Normal"/>
    <w:link w:val="Titre9Car"/>
    <w:qFormat/>
    <w:rsid w:val="00ED636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ED6366"/>
    <w:pPr>
      <w:ind w:left="1985" w:hanging="1985"/>
      <w:outlineLvl w:val="9"/>
    </w:pPr>
    <w:rPr>
      <w:sz w:val="20"/>
    </w:rPr>
  </w:style>
  <w:style w:type="paragraph" w:styleId="TM9">
    <w:name w:val="toc 9"/>
    <w:basedOn w:val="TM8"/>
    <w:uiPriority w:val="39"/>
    <w:rsid w:val="00ED6366"/>
    <w:pPr>
      <w:ind w:left="1418" w:hanging="1418"/>
    </w:pPr>
  </w:style>
  <w:style w:type="paragraph" w:styleId="TM8">
    <w:name w:val="toc 8"/>
    <w:basedOn w:val="TM1"/>
    <w:rsid w:val="00ED6366"/>
    <w:pPr>
      <w:spacing w:before="180"/>
      <w:ind w:left="2693" w:hanging="2693"/>
    </w:pPr>
    <w:rPr>
      <w:b/>
    </w:rPr>
  </w:style>
  <w:style w:type="paragraph" w:styleId="TM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En-tte">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semiHidden/>
    <w:rsid w:val="00ED6366"/>
    <w:pPr>
      <w:ind w:left="1701" w:hanging="1701"/>
    </w:pPr>
  </w:style>
  <w:style w:type="paragraph" w:styleId="TM4">
    <w:name w:val="toc 4"/>
    <w:basedOn w:val="TM3"/>
    <w:semiHidden/>
    <w:rsid w:val="00ED6366"/>
    <w:pPr>
      <w:ind w:left="1418" w:hanging="1418"/>
    </w:pPr>
  </w:style>
  <w:style w:type="paragraph" w:styleId="TM3">
    <w:name w:val="toc 3"/>
    <w:basedOn w:val="TM2"/>
    <w:uiPriority w:val="39"/>
    <w:rsid w:val="00ED6366"/>
    <w:pPr>
      <w:ind w:left="1134" w:hanging="1134"/>
    </w:pPr>
  </w:style>
  <w:style w:type="paragraph" w:styleId="TM2">
    <w:name w:val="toc 2"/>
    <w:basedOn w:val="TM1"/>
    <w:uiPriority w:val="39"/>
    <w:rsid w:val="00ED6366"/>
    <w:pPr>
      <w:spacing w:before="0"/>
      <w:ind w:left="851" w:hanging="851"/>
    </w:pPr>
    <w:rPr>
      <w:sz w:val="20"/>
    </w:rPr>
  </w:style>
  <w:style w:type="paragraph" w:styleId="Index1">
    <w:name w:val="index 1"/>
    <w:basedOn w:val="Normal"/>
    <w:semiHidden/>
    <w:rsid w:val="00ED6366"/>
    <w:pPr>
      <w:keepLines/>
    </w:pPr>
  </w:style>
  <w:style w:type="paragraph" w:styleId="Index2">
    <w:name w:val="index 2"/>
    <w:basedOn w:val="Index1"/>
    <w:semiHidden/>
    <w:rsid w:val="00ED6366"/>
    <w:pPr>
      <w:ind w:left="284"/>
    </w:pPr>
  </w:style>
  <w:style w:type="paragraph" w:customStyle="1" w:styleId="TT">
    <w:name w:val="TT"/>
    <w:basedOn w:val="Titre1"/>
    <w:next w:val="Normal"/>
    <w:rsid w:val="00ED6366"/>
    <w:pPr>
      <w:outlineLvl w:val="9"/>
    </w:pPr>
  </w:style>
  <w:style w:type="paragraph" w:styleId="Pieddepage">
    <w:name w:val="footer"/>
    <w:basedOn w:val="En-tte"/>
    <w:link w:val="PieddepageCar"/>
    <w:rsid w:val="00ED6366"/>
    <w:pPr>
      <w:jc w:val="center"/>
    </w:pPr>
    <w:rPr>
      <w:i/>
    </w:rPr>
  </w:style>
  <w:style w:type="character" w:styleId="Appelnotedebasdep">
    <w:name w:val="footnote reference"/>
    <w:basedOn w:val="Policepardfaut"/>
    <w:semiHidden/>
    <w:rsid w:val="00ED6366"/>
    <w:rPr>
      <w:b/>
      <w:position w:val="6"/>
      <w:sz w:val="16"/>
    </w:rPr>
  </w:style>
  <w:style w:type="paragraph" w:styleId="Notedebasdepage">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Listenumros2">
    <w:name w:val="List Number 2"/>
    <w:basedOn w:val="Listenumros"/>
    <w:rsid w:val="00ED6366"/>
    <w:pPr>
      <w:ind w:left="851"/>
    </w:pPr>
  </w:style>
  <w:style w:type="paragraph" w:styleId="Listenumros">
    <w:name w:val="List Number"/>
    <w:basedOn w:val="Liste"/>
    <w:rsid w:val="00ED6366"/>
  </w:style>
  <w:style w:type="paragraph" w:styleId="Liste">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e"/>
    <w:rsid w:val="00ED6366"/>
    <w:pPr>
      <w:ind w:left="738" w:hanging="454"/>
    </w:pPr>
  </w:style>
  <w:style w:type="paragraph" w:styleId="TM6">
    <w:name w:val="toc 6"/>
    <w:basedOn w:val="TM5"/>
    <w:next w:val="Normal"/>
    <w:semiHidden/>
    <w:rsid w:val="00ED6366"/>
    <w:pPr>
      <w:ind w:left="1985" w:hanging="1985"/>
    </w:pPr>
  </w:style>
  <w:style w:type="paragraph" w:styleId="TM7">
    <w:name w:val="toc 7"/>
    <w:basedOn w:val="TM6"/>
    <w:next w:val="Normal"/>
    <w:semiHidden/>
    <w:rsid w:val="00ED6366"/>
    <w:pPr>
      <w:ind w:left="2268" w:hanging="2268"/>
    </w:pPr>
  </w:style>
  <w:style w:type="paragraph" w:styleId="Listepuces2">
    <w:name w:val="List Bullet 2"/>
    <w:basedOn w:val="Listepuces"/>
    <w:rsid w:val="00ED6366"/>
    <w:pPr>
      <w:ind w:left="851"/>
    </w:pPr>
  </w:style>
  <w:style w:type="paragraph" w:styleId="Listepuces">
    <w:name w:val="List Bullet"/>
    <w:basedOn w:val="Liste"/>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ED6366"/>
    <w:pPr>
      <w:ind w:left="1135"/>
    </w:pPr>
  </w:style>
  <w:style w:type="paragraph" w:styleId="Liste2">
    <w:name w:val="List 2"/>
    <w:basedOn w:val="Liste"/>
    <w:rsid w:val="00ED6366"/>
    <w:pPr>
      <w:ind w:left="851"/>
    </w:pPr>
  </w:style>
  <w:style w:type="paragraph" w:styleId="Liste3">
    <w:name w:val="List 3"/>
    <w:basedOn w:val="Liste2"/>
    <w:rsid w:val="00ED6366"/>
    <w:pPr>
      <w:ind w:left="1135"/>
    </w:pPr>
  </w:style>
  <w:style w:type="paragraph" w:styleId="Liste4">
    <w:name w:val="List 4"/>
    <w:basedOn w:val="Liste3"/>
    <w:rsid w:val="00ED6366"/>
    <w:pPr>
      <w:ind w:left="1418"/>
    </w:pPr>
  </w:style>
  <w:style w:type="paragraph" w:styleId="Liste5">
    <w:name w:val="List 5"/>
    <w:basedOn w:val="Liste4"/>
    <w:rsid w:val="00ED6366"/>
    <w:pPr>
      <w:ind w:left="1702"/>
    </w:pPr>
  </w:style>
  <w:style w:type="paragraph" w:styleId="Listepuces4">
    <w:name w:val="List Bullet 4"/>
    <w:basedOn w:val="Listepuces3"/>
    <w:rsid w:val="00ED6366"/>
    <w:pPr>
      <w:ind w:left="1418"/>
    </w:pPr>
  </w:style>
  <w:style w:type="paragraph" w:styleId="Listepuces5">
    <w:name w:val="List Bullet 5"/>
    <w:basedOn w:val="Listepuces4"/>
    <w:rsid w:val="00ED6366"/>
    <w:pPr>
      <w:ind w:left="1702"/>
    </w:pPr>
  </w:style>
  <w:style w:type="paragraph" w:customStyle="1" w:styleId="B20">
    <w:name w:val="B2"/>
    <w:basedOn w:val="Liste2"/>
    <w:rsid w:val="00ED6366"/>
    <w:pPr>
      <w:ind w:left="1191" w:hanging="454"/>
    </w:pPr>
  </w:style>
  <w:style w:type="paragraph" w:customStyle="1" w:styleId="B30">
    <w:name w:val="B3"/>
    <w:basedOn w:val="Liste3"/>
    <w:rsid w:val="00ED6366"/>
    <w:pPr>
      <w:ind w:left="1645" w:hanging="454"/>
    </w:pPr>
  </w:style>
  <w:style w:type="paragraph" w:customStyle="1" w:styleId="B4">
    <w:name w:val="B4"/>
    <w:basedOn w:val="Liste4"/>
    <w:rsid w:val="00ED6366"/>
    <w:pPr>
      <w:ind w:left="2098" w:hanging="454"/>
    </w:pPr>
  </w:style>
  <w:style w:type="paragraph" w:customStyle="1" w:styleId="B5">
    <w:name w:val="B5"/>
    <w:basedOn w:val="Liste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ED6366"/>
    <w:pPr>
      <w:numPr>
        <w:numId w:val="4"/>
      </w:numPr>
      <w:tabs>
        <w:tab w:val="left" w:pos="1134"/>
      </w:tabs>
    </w:pPr>
  </w:style>
  <w:style w:type="paragraph" w:customStyle="1" w:styleId="B1">
    <w:name w:val="B1+"/>
    <w:basedOn w:val="B10"/>
    <w:rsid w:val="00ED6366"/>
    <w:pPr>
      <w:numPr>
        <w:numId w:val="2"/>
      </w:numPr>
    </w:pPr>
  </w:style>
  <w:style w:type="paragraph" w:customStyle="1" w:styleId="B2">
    <w:name w:val="B2+"/>
    <w:basedOn w:val="B20"/>
    <w:rsid w:val="00ED6366"/>
    <w:pPr>
      <w:numPr>
        <w:numId w:val="3"/>
      </w:numPr>
    </w:pPr>
  </w:style>
  <w:style w:type="paragraph" w:customStyle="1" w:styleId="BL">
    <w:name w:val="BL"/>
    <w:basedOn w:val="Normal"/>
    <w:rsid w:val="00ED6366"/>
    <w:pPr>
      <w:numPr>
        <w:numId w:val="6"/>
      </w:numPr>
      <w:tabs>
        <w:tab w:val="left" w:pos="851"/>
      </w:tabs>
    </w:pPr>
  </w:style>
  <w:style w:type="paragraph" w:customStyle="1" w:styleId="BN">
    <w:name w:val="BN"/>
    <w:basedOn w:val="Normal"/>
    <w:rsid w:val="00ED6366"/>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Titre2Car">
    <w:name w:val="Titre 2 Car"/>
    <w:link w:val="Titre2"/>
    <w:rsid w:val="00E05319"/>
    <w:rPr>
      <w:rFonts w:ascii="Arial" w:hAnsi="Arial"/>
      <w:sz w:val="32"/>
      <w:lang w:eastAsia="en-US"/>
    </w:rPr>
  </w:style>
  <w:style w:type="character" w:customStyle="1" w:styleId="PieddepageCar">
    <w:name w:val="Pied de page Car"/>
    <w:link w:val="Pieddepage"/>
    <w:rsid w:val="00BC33F7"/>
    <w:rPr>
      <w:rFonts w:ascii="Arial" w:hAnsi="Arial"/>
      <w:b/>
      <w:i/>
      <w:noProof/>
      <w:sz w:val="18"/>
      <w:lang w:eastAsia="en-US"/>
    </w:rPr>
  </w:style>
  <w:style w:type="character" w:customStyle="1" w:styleId="Titre1Car">
    <w:name w:val="Titre 1 Car"/>
    <w:link w:val="Titre1"/>
    <w:rsid w:val="00260104"/>
    <w:rPr>
      <w:rFonts w:ascii="Arial" w:hAnsi="Arial"/>
      <w:sz w:val="36"/>
      <w:lang w:eastAsia="en-US"/>
    </w:rPr>
  </w:style>
  <w:style w:type="character" w:customStyle="1" w:styleId="Titre9Car">
    <w:name w:val="Titre 9 Car"/>
    <w:link w:val="Titre9"/>
    <w:rsid w:val="00260104"/>
    <w:rPr>
      <w:rFonts w:ascii="Arial" w:hAnsi="Arial"/>
      <w:sz w:val="36"/>
      <w:lang w:eastAsia="en-US"/>
    </w:rPr>
  </w:style>
  <w:style w:type="character" w:customStyle="1" w:styleId="Titre8Car">
    <w:name w:val="Titre 8 Car"/>
    <w:link w:val="Titre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39"/>
      </w:numPr>
      <w:tabs>
        <w:tab w:val="left" w:pos="1109"/>
      </w:tabs>
      <w:spacing w:after="0"/>
      <w:ind w:left="1100" w:hanging="380"/>
    </w:pPr>
    <w:rPr>
      <w:rFonts w:ascii="Arial" w:hAnsi="Arial"/>
      <w:sz w:val="18"/>
    </w:rPr>
  </w:style>
  <w:style w:type="paragraph" w:customStyle="1" w:styleId="Textbody">
    <w:name w:val="Text body"/>
    <w:basedOn w:val="Normal"/>
    <w:rsid w:val="00FF509A"/>
    <w:pPr>
      <w:widowControl w:val="0"/>
      <w:suppressAutoHyphens/>
      <w:overflowPunct/>
      <w:autoSpaceDE/>
      <w:adjustRightInd/>
      <w:spacing w:after="120"/>
    </w:pPr>
    <w:rPr>
      <w:rFonts w:eastAsia="Arial Unicode MS" w:cs="Arial Unicode MS"/>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8846075">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9214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yperlink" Target="https://www.digitaleurope.org/resources/pan-european-survey-on-the-impact-of-covid-19-on-the-digital-indust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igitaleurope.org/resources/pan-european-survey-on-the-impact-of-covid-19-on-the-digital-industry/" TargetMode="Externa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www.digitaleurope.org/resources/pan-european-survey-on-the-impact-of-covid-19-on-the-digital-industr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www.digitaleurope.org/resources/pan-european-survey-on-the-impact-of-covid-19-on-the-digital-indus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hyperlink" Target="https://www.digitaleurope.org/resources/pan-european-survey-on-the-impact-of-covid-19-on-the-digital-industry/" TargetMode="Externa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hyperlink" Target="https://www.techrepublic.com/article/survey-covid-19-continues-to-impact-digital-transformation-plans/" TargetMode="External"/><Relationship Id="rId28"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hyperlink" Target="https://www.digitaleurope.org/resources/pan-european-survey-on-the-impact-of-covid-19-on-the-digital-indust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6ADE0-E21C-4C06-B83B-803D97B4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37</TotalTime>
  <Pages>16</Pages>
  <Words>4807</Words>
  <Characters>26441</Characters>
  <Application>Microsoft Office Word</Application>
  <DocSecurity>0</DocSecurity>
  <Lines>220</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31186</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Jean-Yves M</cp:lastModifiedBy>
  <cp:revision>7</cp:revision>
  <cp:lastPrinted>2010-05-07T16:32:00Z</cp:lastPrinted>
  <dcterms:created xsi:type="dcterms:W3CDTF">2023-01-16T07:03:00Z</dcterms:created>
  <dcterms:modified xsi:type="dcterms:W3CDTF">2023-01-16T08:53:00Z</dcterms:modified>
</cp:coreProperties>
</file>