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EDA8" w14:textId="47DE19E1" w:rsidR="00584E2A" w:rsidRPr="004F6BE7" w:rsidRDefault="00ED59A1" w:rsidP="004F6BE7">
      <w:pPr>
        <w:tabs>
          <w:tab w:val="clear" w:pos="1418"/>
          <w:tab w:val="clear" w:pos="4678"/>
          <w:tab w:val="left" w:pos="2268"/>
        </w:tabs>
        <w:jc w:val="left"/>
        <w:rPr>
          <w:b/>
          <w:bCs/>
          <w:sz w:val="24"/>
        </w:rPr>
      </w:pPr>
      <w:r w:rsidRPr="003351CA">
        <w:rPr>
          <w:b/>
          <w:sz w:val="24"/>
        </w:rPr>
        <w:t>Source:</w:t>
      </w:r>
      <w:r w:rsidRPr="003351CA">
        <w:rPr>
          <w:b/>
          <w:sz w:val="24"/>
        </w:rPr>
        <w:tab/>
      </w:r>
      <w:r w:rsidR="004F6BE7" w:rsidRPr="003351CA">
        <w:rPr>
          <w:b/>
          <w:sz w:val="24"/>
        </w:rPr>
        <w:t>E</w:t>
      </w:r>
      <w:r w:rsidR="004F6BE7">
        <w:rPr>
          <w:b/>
          <w:sz w:val="24"/>
        </w:rPr>
        <w:t>TSI Director-General</w:t>
      </w:r>
    </w:p>
    <w:p w14:paraId="65D103AF" w14:textId="77777777" w:rsidR="00ED59A1" w:rsidRDefault="00ED59A1">
      <w:pPr>
        <w:tabs>
          <w:tab w:val="clear" w:pos="1418"/>
          <w:tab w:val="clear" w:pos="4678"/>
          <w:tab w:val="left" w:pos="1701"/>
        </w:tabs>
        <w:jc w:val="left"/>
        <w:rPr>
          <w:sz w:val="24"/>
        </w:rPr>
      </w:pPr>
    </w:p>
    <w:p w14:paraId="1E872EFC" w14:textId="1EC3C4FD" w:rsidR="00ED59A1" w:rsidRDefault="00ED59A1">
      <w:pPr>
        <w:tabs>
          <w:tab w:val="clear" w:pos="1418"/>
          <w:tab w:val="clear" w:pos="4678"/>
          <w:tab w:val="left" w:pos="2268"/>
        </w:tabs>
        <w:ind w:left="2268" w:hanging="2268"/>
        <w:jc w:val="left"/>
        <w:rPr>
          <w:b/>
          <w:sz w:val="24"/>
        </w:rPr>
      </w:pPr>
      <w:r>
        <w:rPr>
          <w:b/>
          <w:sz w:val="24"/>
        </w:rPr>
        <w:t>Title:</w:t>
      </w:r>
      <w:r>
        <w:rPr>
          <w:b/>
          <w:sz w:val="24"/>
        </w:rPr>
        <w:tab/>
      </w:r>
      <w:r w:rsidR="00525BC1">
        <w:rPr>
          <w:b/>
          <w:sz w:val="24"/>
        </w:rPr>
        <w:t>Terms of Reference</w:t>
      </w:r>
      <w:r w:rsidR="00584E2A">
        <w:rPr>
          <w:b/>
          <w:sz w:val="24"/>
        </w:rPr>
        <w:t xml:space="preserve"> of </w:t>
      </w:r>
      <w:r w:rsidR="00584E2A" w:rsidRPr="00584E2A">
        <w:rPr>
          <w:b/>
          <w:sz w:val="24"/>
        </w:rPr>
        <w:t>CEN-CLC-ETSI J</w:t>
      </w:r>
      <w:r w:rsidR="00F20AF8">
        <w:rPr>
          <w:b/>
          <w:sz w:val="24"/>
        </w:rPr>
        <w:t xml:space="preserve">oint </w:t>
      </w:r>
      <w:r w:rsidR="00F81EA3">
        <w:rPr>
          <w:b/>
          <w:sz w:val="24"/>
        </w:rPr>
        <w:t xml:space="preserve">Technical Body </w:t>
      </w:r>
      <w:r w:rsidR="0001591F" w:rsidRPr="0001591F">
        <w:rPr>
          <w:b/>
          <w:sz w:val="24"/>
        </w:rPr>
        <w:t>eAccessibility</w:t>
      </w:r>
      <w:r w:rsidR="00F20AF8">
        <w:rPr>
          <w:b/>
          <w:sz w:val="24"/>
        </w:rPr>
        <w:t xml:space="preserve"> (</w:t>
      </w:r>
      <w:r w:rsidR="00F81EA3">
        <w:rPr>
          <w:b/>
          <w:sz w:val="24"/>
        </w:rPr>
        <w:t>formerly Joint Working Group</w:t>
      </w:r>
      <w:r w:rsidR="00F20AF8">
        <w:rPr>
          <w:b/>
          <w:sz w:val="24"/>
        </w:rPr>
        <w:t>)</w:t>
      </w:r>
    </w:p>
    <w:p w14:paraId="43224E4A" w14:textId="77777777" w:rsidR="00ED59A1" w:rsidRDefault="00ED59A1">
      <w:pPr>
        <w:tabs>
          <w:tab w:val="clear" w:pos="1418"/>
          <w:tab w:val="clear" w:pos="4678"/>
          <w:tab w:val="left" w:pos="1701"/>
        </w:tabs>
        <w:jc w:val="left"/>
        <w:rPr>
          <w:sz w:val="24"/>
        </w:rPr>
      </w:pPr>
    </w:p>
    <w:p w14:paraId="1622576F" w14:textId="4311CD25" w:rsidR="00ED59A1" w:rsidRDefault="00ED59A1">
      <w:pPr>
        <w:tabs>
          <w:tab w:val="clear" w:pos="1418"/>
          <w:tab w:val="clear" w:pos="4678"/>
          <w:tab w:val="left" w:pos="2268"/>
        </w:tabs>
        <w:jc w:val="left"/>
        <w:rPr>
          <w:b/>
          <w:sz w:val="24"/>
        </w:rPr>
      </w:pPr>
      <w:r>
        <w:rPr>
          <w:b/>
          <w:sz w:val="24"/>
        </w:rPr>
        <w:t>Agenda item:</w:t>
      </w:r>
      <w:r>
        <w:rPr>
          <w:b/>
          <w:sz w:val="24"/>
        </w:rPr>
        <w:tab/>
      </w:r>
      <w:r w:rsidR="00F35ABA">
        <w:rPr>
          <w:b/>
          <w:sz w:val="24"/>
        </w:rPr>
        <w:t>4</w:t>
      </w:r>
    </w:p>
    <w:p w14:paraId="3E80FC0A" w14:textId="77777777" w:rsidR="00ED59A1" w:rsidRDefault="00EC13C4" w:rsidP="00EC13C4">
      <w:pPr>
        <w:tabs>
          <w:tab w:val="clear" w:pos="1418"/>
          <w:tab w:val="clear" w:pos="4678"/>
          <w:tab w:val="clear" w:pos="5954"/>
          <w:tab w:val="clear" w:pos="7088"/>
          <w:tab w:val="left" w:pos="5235"/>
        </w:tabs>
        <w:jc w:val="left"/>
        <w:rPr>
          <w:sz w:val="24"/>
        </w:rPr>
      </w:pPr>
      <w:r>
        <w:rPr>
          <w:sz w:val="24"/>
        </w:rPr>
        <w:tab/>
      </w:r>
    </w:p>
    <w:tbl>
      <w:tblPr>
        <w:tblpPr w:leftFromText="180" w:rightFromText="180" w:vertAnchor="text" w:horzAnchor="page" w:tblpX="3458"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4"/>
      </w:tblGrid>
      <w:tr w:rsidR="00ED59A1" w14:paraId="4E801618" w14:textId="77777777">
        <w:tc>
          <w:tcPr>
            <w:tcW w:w="1417" w:type="dxa"/>
          </w:tcPr>
          <w:p w14:paraId="7551E6BE" w14:textId="77777777" w:rsidR="00ED59A1" w:rsidRDefault="00ED59A1">
            <w:pPr>
              <w:tabs>
                <w:tab w:val="clear" w:pos="1418"/>
                <w:tab w:val="clear" w:pos="4678"/>
                <w:tab w:val="left" w:pos="1701"/>
              </w:tabs>
              <w:jc w:val="left"/>
              <w:rPr>
                <w:sz w:val="24"/>
              </w:rPr>
            </w:pPr>
            <w:r>
              <w:rPr>
                <w:sz w:val="24"/>
              </w:rPr>
              <w:t>Decision</w:t>
            </w:r>
          </w:p>
        </w:tc>
        <w:tc>
          <w:tcPr>
            <w:tcW w:w="534" w:type="dxa"/>
          </w:tcPr>
          <w:p w14:paraId="620E026E" w14:textId="0F63FF73" w:rsidR="00ED59A1" w:rsidRDefault="00584E2A">
            <w:pPr>
              <w:tabs>
                <w:tab w:val="clear" w:pos="1418"/>
                <w:tab w:val="clear" w:pos="4678"/>
                <w:tab w:val="left" w:pos="1701"/>
              </w:tabs>
              <w:jc w:val="left"/>
              <w:rPr>
                <w:b/>
                <w:sz w:val="24"/>
              </w:rPr>
            </w:pPr>
            <w:bookmarkStart w:id="0" w:name="DocumentFor"/>
            <w:bookmarkEnd w:id="0"/>
            <w:r>
              <w:rPr>
                <w:b/>
                <w:sz w:val="24"/>
              </w:rPr>
              <w:t>x</w:t>
            </w:r>
          </w:p>
        </w:tc>
      </w:tr>
      <w:tr w:rsidR="00ED59A1" w14:paraId="220703A3" w14:textId="77777777">
        <w:tc>
          <w:tcPr>
            <w:tcW w:w="1417" w:type="dxa"/>
          </w:tcPr>
          <w:p w14:paraId="22DC7249" w14:textId="77777777" w:rsidR="00ED59A1" w:rsidRDefault="00ED59A1">
            <w:pPr>
              <w:tabs>
                <w:tab w:val="clear" w:pos="1418"/>
                <w:tab w:val="clear" w:pos="4678"/>
                <w:tab w:val="left" w:pos="1701"/>
              </w:tabs>
              <w:jc w:val="left"/>
              <w:rPr>
                <w:sz w:val="24"/>
              </w:rPr>
            </w:pPr>
            <w:r>
              <w:rPr>
                <w:sz w:val="24"/>
              </w:rPr>
              <w:t>Discussion</w:t>
            </w:r>
          </w:p>
        </w:tc>
        <w:tc>
          <w:tcPr>
            <w:tcW w:w="534" w:type="dxa"/>
          </w:tcPr>
          <w:p w14:paraId="7E190CA5" w14:textId="77777777" w:rsidR="00ED59A1" w:rsidRDefault="00ED59A1">
            <w:pPr>
              <w:tabs>
                <w:tab w:val="clear" w:pos="1418"/>
                <w:tab w:val="clear" w:pos="4678"/>
                <w:tab w:val="left" w:pos="1701"/>
              </w:tabs>
              <w:jc w:val="left"/>
              <w:rPr>
                <w:b/>
                <w:sz w:val="24"/>
              </w:rPr>
            </w:pPr>
          </w:p>
        </w:tc>
      </w:tr>
      <w:tr w:rsidR="00ED59A1" w14:paraId="577B303E" w14:textId="77777777">
        <w:tc>
          <w:tcPr>
            <w:tcW w:w="1417" w:type="dxa"/>
          </w:tcPr>
          <w:p w14:paraId="02235B10" w14:textId="77777777" w:rsidR="00ED59A1" w:rsidRDefault="00ED59A1">
            <w:pPr>
              <w:tabs>
                <w:tab w:val="clear" w:pos="1418"/>
                <w:tab w:val="clear" w:pos="4678"/>
                <w:tab w:val="left" w:pos="1701"/>
              </w:tabs>
              <w:jc w:val="left"/>
              <w:rPr>
                <w:sz w:val="24"/>
              </w:rPr>
            </w:pPr>
            <w:r>
              <w:rPr>
                <w:sz w:val="24"/>
              </w:rPr>
              <w:t>Information</w:t>
            </w:r>
          </w:p>
        </w:tc>
        <w:tc>
          <w:tcPr>
            <w:tcW w:w="534" w:type="dxa"/>
          </w:tcPr>
          <w:p w14:paraId="216915EF" w14:textId="77777777" w:rsidR="00ED59A1" w:rsidRDefault="00ED59A1">
            <w:pPr>
              <w:tabs>
                <w:tab w:val="clear" w:pos="1418"/>
                <w:tab w:val="clear" w:pos="4678"/>
                <w:tab w:val="left" w:pos="1701"/>
              </w:tabs>
              <w:jc w:val="left"/>
              <w:rPr>
                <w:b/>
                <w:sz w:val="24"/>
              </w:rPr>
            </w:pPr>
          </w:p>
        </w:tc>
      </w:tr>
    </w:tbl>
    <w:p w14:paraId="2BF690C4" w14:textId="77777777" w:rsidR="00DB1C4C" w:rsidRPr="00DB1C4C" w:rsidRDefault="00DB1C4C" w:rsidP="00DB1C4C">
      <w:pPr>
        <w:rPr>
          <w:vanish/>
        </w:rPr>
      </w:pPr>
    </w:p>
    <w:tbl>
      <w:tblPr>
        <w:tblpPr w:leftFromText="181" w:rightFromText="181" w:vertAnchor="text" w:horzAnchor="page" w:tblpX="6272"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67"/>
      </w:tblGrid>
      <w:tr w:rsidR="00ED59A1" w14:paraId="5C3EBFAF" w14:textId="77777777">
        <w:tc>
          <w:tcPr>
            <w:tcW w:w="1951" w:type="dxa"/>
          </w:tcPr>
          <w:p w14:paraId="2D1C8BAB" w14:textId="77777777" w:rsidR="00ED59A1" w:rsidRDefault="00ED59A1">
            <w:pPr>
              <w:tabs>
                <w:tab w:val="clear" w:pos="1418"/>
                <w:tab w:val="clear" w:pos="4678"/>
                <w:tab w:val="left" w:pos="1701"/>
              </w:tabs>
              <w:jc w:val="left"/>
              <w:rPr>
                <w:sz w:val="24"/>
              </w:rPr>
            </w:pPr>
            <w:r>
              <w:rPr>
                <w:sz w:val="24"/>
              </w:rPr>
              <w:t>Late submission</w:t>
            </w:r>
          </w:p>
        </w:tc>
        <w:tc>
          <w:tcPr>
            <w:tcW w:w="567" w:type="dxa"/>
          </w:tcPr>
          <w:p w14:paraId="3B26D824" w14:textId="77777777" w:rsidR="00ED59A1" w:rsidRDefault="00ED59A1">
            <w:pPr>
              <w:tabs>
                <w:tab w:val="clear" w:pos="1418"/>
                <w:tab w:val="clear" w:pos="4678"/>
                <w:tab w:val="left" w:pos="1701"/>
              </w:tabs>
              <w:jc w:val="left"/>
              <w:rPr>
                <w:b/>
                <w:sz w:val="24"/>
              </w:rPr>
            </w:pPr>
            <w:bookmarkStart w:id="1" w:name="LateSubmission"/>
            <w:bookmarkEnd w:id="1"/>
          </w:p>
        </w:tc>
      </w:tr>
    </w:tbl>
    <w:p w14:paraId="6E4C77E9" w14:textId="77777777" w:rsidR="00ED59A1" w:rsidRDefault="00ED59A1">
      <w:pPr>
        <w:tabs>
          <w:tab w:val="clear" w:pos="1418"/>
          <w:tab w:val="clear" w:pos="4678"/>
          <w:tab w:val="left" w:pos="1701"/>
        </w:tabs>
        <w:jc w:val="left"/>
        <w:rPr>
          <w:sz w:val="24"/>
        </w:rPr>
      </w:pPr>
      <w:r>
        <w:rPr>
          <w:b/>
          <w:sz w:val="24"/>
        </w:rPr>
        <w:t>Document for:</w:t>
      </w:r>
      <w:r>
        <w:rPr>
          <w:sz w:val="24"/>
        </w:rPr>
        <w:tab/>
      </w:r>
      <w:r>
        <w:rPr>
          <w:sz w:val="24"/>
        </w:rPr>
        <w:tab/>
      </w:r>
      <w:r>
        <w:rPr>
          <w:sz w:val="24"/>
        </w:rPr>
        <w:tab/>
      </w:r>
    </w:p>
    <w:p w14:paraId="06A10F99" w14:textId="77777777" w:rsidR="00ED59A1" w:rsidRDefault="00ED59A1">
      <w:pPr>
        <w:tabs>
          <w:tab w:val="clear" w:pos="1418"/>
          <w:tab w:val="clear" w:pos="4678"/>
          <w:tab w:val="left" w:pos="1701"/>
        </w:tabs>
        <w:jc w:val="left"/>
        <w:rPr>
          <w:sz w:val="24"/>
        </w:rPr>
      </w:pPr>
    </w:p>
    <w:p w14:paraId="6BE00E10" w14:textId="77777777" w:rsidR="00ED59A1" w:rsidRDefault="00ED59A1">
      <w:pPr>
        <w:tabs>
          <w:tab w:val="clear" w:pos="1418"/>
          <w:tab w:val="clear" w:pos="4678"/>
          <w:tab w:val="clear" w:pos="5954"/>
          <w:tab w:val="clear" w:pos="7088"/>
        </w:tabs>
        <w:rPr>
          <w:sz w:val="24"/>
        </w:rPr>
        <w:sectPr w:rsidR="00ED59A1" w:rsidSect="00FD79EB">
          <w:headerReference w:type="default" r:id="rId11"/>
          <w:headerReference w:type="first" r:id="rId12"/>
          <w:footerReference w:type="first" r:id="rId13"/>
          <w:pgSz w:w="11907" w:h="16840" w:code="9"/>
          <w:pgMar w:top="2268" w:right="1418" w:bottom="1701" w:left="1418" w:header="720" w:footer="720" w:gutter="0"/>
          <w:cols w:space="720"/>
          <w:titlePg/>
          <w:docGrid w:linePitch="272"/>
        </w:sectPr>
      </w:pPr>
    </w:p>
    <w:p w14:paraId="0D885F78" w14:textId="77777777" w:rsidR="00ED59A1" w:rsidRDefault="00ED59A1">
      <w:pPr>
        <w:tabs>
          <w:tab w:val="clear" w:pos="1418"/>
          <w:tab w:val="clear" w:pos="4678"/>
          <w:tab w:val="clear" w:pos="5954"/>
          <w:tab w:val="clear" w:pos="7088"/>
        </w:tabs>
        <w:spacing w:after="240" w:line="240" w:lineRule="atLeast"/>
      </w:pPr>
    </w:p>
    <w:p w14:paraId="43C3488C" w14:textId="77777777" w:rsidR="00ED59A1" w:rsidRDefault="00ED59A1">
      <w:pPr>
        <w:tabs>
          <w:tab w:val="clear" w:pos="1418"/>
          <w:tab w:val="clear" w:pos="4678"/>
          <w:tab w:val="clear" w:pos="5954"/>
          <w:tab w:val="clear" w:pos="7088"/>
        </w:tabs>
        <w:spacing w:after="240" w:line="240" w:lineRule="atLeast"/>
      </w:pPr>
      <w:bookmarkStart w:id="2" w:name="Dear"/>
      <w:bookmarkEnd w:id="2"/>
    </w:p>
    <w:p w14:paraId="35C3076A" w14:textId="77777777" w:rsidR="00ED59A1" w:rsidRDefault="00ED59A1">
      <w:pPr>
        <w:pStyle w:val="Heading1"/>
      </w:pPr>
      <w:r>
        <w:t>1</w:t>
      </w:r>
      <w:r>
        <w:tab/>
        <w:t>Decision/action requested</w:t>
      </w:r>
    </w:p>
    <w:p w14:paraId="4385E952" w14:textId="56E9F4C3" w:rsidR="003E0E91" w:rsidRPr="00BE47F0" w:rsidRDefault="00584E2A" w:rsidP="004F6BE7">
      <w:pPr>
        <w:pBdr>
          <w:top w:val="single" w:sz="4" w:space="1" w:color="auto"/>
          <w:left w:val="single" w:sz="4" w:space="4" w:color="auto"/>
          <w:bottom w:val="single" w:sz="4" w:space="1" w:color="auto"/>
          <w:right w:val="single" w:sz="4" w:space="4" w:color="auto"/>
        </w:pBdr>
        <w:spacing w:line="360" w:lineRule="auto"/>
        <w:jc w:val="center"/>
      </w:pPr>
      <w:r>
        <w:rPr>
          <w:b/>
          <w:i/>
        </w:rPr>
        <w:t xml:space="preserve">The Board is invited to </w:t>
      </w:r>
      <w:r w:rsidR="00595F7F">
        <w:rPr>
          <w:b/>
          <w:i/>
        </w:rPr>
        <w:t>approve the revised T</w:t>
      </w:r>
      <w:r w:rsidR="00F81EA3">
        <w:rPr>
          <w:b/>
          <w:i/>
        </w:rPr>
        <w:t xml:space="preserve">erms </w:t>
      </w:r>
      <w:r w:rsidR="00595F7F">
        <w:rPr>
          <w:b/>
          <w:i/>
        </w:rPr>
        <w:t>o</w:t>
      </w:r>
      <w:r w:rsidR="00F81EA3">
        <w:rPr>
          <w:b/>
          <w:i/>
        </w:rPr>
        <w:t xml:space="preserve">f </w:t>
      </w:r>
      <w:r w:rsidR="00595F7F">
        <w:rPr>
          <w:b/>
          <w:i/>
        </w:rPr>
        <w:t>R</w:t>
      </w:r>
      <w:r w:rsidR="00F81EA3">
        <w:rPr>
          <w:b/>
          <w:i/>
        </w:rPr>
        <w:t>eference</w:t>
      </w:r>
      <w:r w:rsidR="00595F7F">
        <w:rPr>
          <w:b/>
          <w:i/>
        </w:rPr>
        <w:t xml:space="preserve"> </w:t>
      </w:r>
      <w:r>
        <w:rPr>
          <w:b/>
          <w:i/>
        </w:rPr>
        <w:t>of CEN-CLC-ETSI J</w:t>
      </w:r>
      <w:r w:rsidR="00F81EA3">
        <w:rPr>
          <w:b/>
          <w:i/>
        </w:rPr>
        <w:t>oint Technical Body on</w:t>
      </w:r>
      <w:r>
        <w:rPr>
          <w:b/>
          <w:i/>
        </w:rPr>
        <w:t xml:space="preserve"> </w:t>
      </w:r>
      <w:r w:rsidR="006F3BF5">
        <w:rPr>
          <w:b/>
          <w:i/>
        </w:rPr>
        <w:t>eAccessibilit</w:t>
      </w:r>
      <w:r w:rsidR="00F81EA3">
        <w:rPr>
          <w:b/>
          <w:i/>
        </w:rPr>
        <w:t xml:space="preserve">y. </w:t>
      </w:r>
    </w:p>
    <w:p w14:paraId="3B91D018" w14:textId="77777777" w:rsidR="00ED59A1" w:rsidRDefault="00ED59A1"/>
    <w:p w14:paraId="63E8EF99" w14:textId="18D33B29" w:rsidR="00ED59A1" w:rsidRDefault="00ED59A1">
      <w:pPr>
        <w:pStyle w:val="Heading1"/>
      </w:pPr>
      <w:r>
        <w:t>2</w:t>
      </w:r>
      <w:r>
        <w:tab/>
        <w:t>References</w:t>
      </w:r>
    </w:p>
    <w:p w14:paraId="7A914485" w14:textId="0855ED7D" w:rsidR="00F20AF8" w:rsidRDefault="00F20AF8" w:rsidP="00F20AF8">
      <w:r>
        <w:t>- CEN CENELEC ETSI Cooperation Agreement</w:t>
      </w:r>
      <w:r w:rsidR="00EF62E4">
        <w:t xml:space="preserve"> </w:t>
      </w:r>
      <w:hyperlink r:id="rId14" w:history="1">
        <w:r w:rsidR="00EF62E4">
          <w:rPr>
            <w:rStyle w:val="Hyperlink"/>
          </w:rPr>
          <w:t>Partnership Agreements View - Agreement View (etsi.org)</w:t>
        </w:r>
      </w:hyperlink>
    </w:p>
    <w:p w14:paraId="0AC156EA" w14:textId="77777777" w:rsidR="009F396C" w:rsidRDefault="009F396C" w:rsidP="00F20AF8"/>
    <w:p w14:paraId="3A9C60DD" w14:textId="0C9A3AB0" w:rsidR="009F396C" w:rsidRDefault="00F20AF8" w:rsidP="00F20AF8">
      <w:r>
        <w:t xml:space="preserve">- </w:t>
      </w:r>
      <w:hyperlink r:id="rId15" w:history="1">
        <w:r w:rsidR="007B4313">
          <w:rPr>
            <w:rStyle w:val="Hyperlink"/>
          </w:rPr>
          <w:t xml:space="preserve">CEN Technical Bodies - CEN/CLC/ETSI/JWG </w:t>
        </w:r>
        <w:proofErr w:type="spellStart"/>
        <w:r w:rsidR="007B4313">
          <w:rPr>
            <w:rStyle w:val="Hyperlink"/>
          </w:rPr>
          <w:t>eAcc</w:t>
        </w:r>
        <w:proofErr w:type="spellEnd"/>
        <w:r w:rsidR="007B4313">
          <w:rPr>
            <w:rStyle w:val="Hyperlink"/>
          </w:rPr>
          <w:t xml:space="preserve"> (cencenelec.eu)</w:t>
        </w:r>
      </w:hyperlink>
    </w:p>
    <w:p w14:paraId="72408B76" w14:textId="77777777" w:rsidR="00CF62DF" w:rsidRDefault="00CF62DF" w:rsidP="00F20AF8"/>
    <w:p w14:paraId="72C7C840" w14:textId="356299ED" w:rsidR="006F632A" w:rsidRPr="00A72194" w:rsidRDefault="006F632A" w:rsidP="00F20AF8">
      <w:pPr>
        <w:rPr>
          <w:b/>
          <w:bCs/>
          <w:color w:val="0000FF"/>
          <w:lang w:val="en-US"/>
        </w:rPr>
      </w:pPr>
      <w:r>
        <w:t>- Revision of Mode 5 of the CEN-CLC-ETSI Cooperation Agreement approv</w:t>
      </w:r>
      <w:r w:rsidR="00E9049B">
        <w:t>ed</w:t>
      </w:r>
      <w:r>
        <w:t xml:space="preserve"> by ETSI Board </w:t>
      </w:r>
      <w:r w:rsidR="00A61A00" w:rsidRPr="00192E93">
        <w:rPr>
          <w:b/>
          <w:bCs/>
          <w:color w:val="0000FF"/>
          <w:lang w:val="en-US"/>
        </w:rPr>
        <w:t>D-B135/9</w:t>
      </w:r>
      <w:r w:rsidR="00A72194">
        <w:rPr>
          <w:b/>
          <w:bCs/>
          <w:color w:val="0000FF"/>
          <w:lang w:val="en-US"/>
        </w:rPr>
        <w:t xml:space="preserve"> </w:t>
      </w:r>
      <w:r w:rsidR="00A72194" w:rsidRPr="00192E93">
        <w:t>for joint technical work between ETSI and CEN and/or CENELEC</w:t>
      </w:r>
      <w:r w:rsidR="00A72194" w:rsidRPr="00192E93">
        <w:rPr>
          <w:rFonts w:cs="Arial"/>
        </w:rPr>
        <w:t xml:space="preserve"> [</w:t>
      </w:r>
      <w:hyperlink r:id="rId16" w:history="1">
        <w:r w:rsidR="00A72194" w:rsidRPr="00192E93">
          <w:rPr>
            <w:rFonts w:cs="Arial"/>
            <w:color w:val="0000FF"/>
            <w:u w:val="single"/>
          </w:rPr>
          <w:t>BOARD(21)135_012</w:t>
        </w:r>
      </w:hyperlink>
      <w:r w:rsidR="00A72194">
        <w:rPr>
          <w:rFonts w:cs="Arial"/>
          <w:color w:val="0000FF"/>
          <w:u w:val="single"/>
        </w:rPr>
        <w:t>]</w:t>
      </w:r>
    </w:p>
    <w:p w14:paraId="7C2754F3" w14:textId="77777777" w:rsidR="00B61C87" w:rsidRPr="00F20AF8" w:rsidRDefault="00B61C87" w:rsidP="00F20AF8"/>
    <w:p w14:paraId="06C57BD1" w14:textId="486DBD9D" w:rsidR="00ED59A1" w:rsidRDefault="00ED59A1"/>
    <w:p w14:paraId="612BBD17" w14:textId="77777777" w:rsidR="00ED59A1" w:rsidRDefault="00ED59A1">
      <w:pPr>
        <w:pStyle w:val="Heading1"/>
      </w:pPr>
      <w:r>
        <w:t>3</w:t>
      </w:r>
      <w:r>
        <w:tab/>
        <w:t>Rationale</w:t>
      </w:r>
    </w:p>
    <w:p w14:paraId="3C67A972" w14:textId="3EEABFEC" w:rsidR="003005AC" w:rsidRDefault="00DA1EEB" w:rsidP="002468C4">
      <w:pPr>
        <w:rPr>
          <w:iCs/>
        </w:rPr>
      </w:pPr>
      <w:r>
        <w:rPr>
          <w:iCs/>
        </w:rPr>
        <w:t xml:space="preserve">The CEN-CLC-ETSI Joint Working Group on eAccessibility </w:t>
      </w:r>
      <w:r w:rsidR="00207209">
        <w:rPr>
          <w:iCs/>
        </w:rPr>
        <w:t>was</w:t>
      </w:r>
      <w:r>
        <w:rPr>
          <w:iCs/>
        </w:rPr>
        <w:t xml:space="preserve"> created in 2010 </w:t>
      </w:r>
      <w:r w:rsidR="00F81EA3">
        <w:rPr>
          <w:iCs/>
        </w:rPr>
        <w:t>in response to a</w:t>
      </w:r>
      <w:r>
        <w:rPr>
          <w:iCs/>
        </w:rPr>
        <w:t xml:space="preserve"> Mandate</w:t>
      </w:r>
      <w:r w:rsidR="00F81EA3">
        <w:rPr>
          <w:iCs/>
        </w:rPr>
        <w:t xml:space="preserve"> </w:t>
      </w:r>
      <w:r w:rsidR="005F2DA3">
        <w:rPr>
          <w:iCs/>
        </w:rPr>
        <w:t>(</w:t>
      </w:r>
      <w:r w:rsidR="003005AC">
        <w:rPr>
          <w:iCs/>
        </w:rPr>
        <w:t>M/376</w:t>
      </w:r>
      <w:r w:rsidR="005F2DA3">
        <w:rPr>
          <w:iCs/>
        </w:rPr>
        <w:t>)</w:t>
      </w:r>
      <w:r w:rsidR="003005AC">
        <w:rPr>
          <w:iCs/>
        </w:rPr>
        <w:t xml:space="preserve"> </w:t>
      </w:r>
      <w:r w:rsidR="00F81EA3">
        <w:rPr>
          <w:iCs/>
        </w:rPr>
        <w:t xml:space="preserve">from the European </w:t>
      </w:r>
      <w:r w:rsidR="005F2DA3">
        <w:rPr>
          <w:iCs/>
        </w:rPr>
        <w:t>Commission</w:t>
      </w:r>
      <w:r w:rsidR="003005AC">
        <w:rPr>
          <w:iCs/>
        </w:rPr>
        <w:t xml:space="preserve"> in support of European accessibility requirements for public procurement of products and services in the ICT domain. This mandate </w:t>
      </w:r>
      <w:r w:rsidR="00E05486">
        <w:rPr>
          <w:iCs/>
        </w:rPr>
        <w:t xml:space="preserve">led to the development of the EN 301 549 </w:t>
      </w:r>
      <w:r w:rsidR="00762C3A">
        <w:rPr>
          <w:iCs/>
        </w:rPr>
        <w:t>among other deliverables</w:t>
      </w:r>
      <w:r w:rsidR="00BD7544">
        <w:rPr>
          <w:iCs/>
        </w:rPr>
        <w:t>,</w:t>
      </w:r>
      <w:r w:rsidR="00762C3A">
        <w:rPr>
          <w:iCs/>
        </w:rPr>
        <w:t xml:space="preserve"> </w:t>
      </w:r>
      <w:r w:rsidR="00E05486">
        <w:rPr>
          <w:iCs/>
        </w:rPr>
        <w:t xml:space="preserve">and </w:t>
      </w:r>
      <w:r w:rsidR="00BD7544">
        <w:rPr>
          <w:iCs/>
        </w:rPr>
        <w:t xml:space="preserve">it </w:t>
      </w:r>
      <w:r w:rsidR="003005AC">
        <w:rPr>
          <w:iCs/>
        </w:rPr>
        <w:t xml:space="preserve">is now terminated. </w:t>
      </w:r>
    </w:p>
    <w:p w14:paraId="2AA13384" w14:textId="77777777" w:rsidR="00762C3A" w:rsidRDefault="00762C3A" w:rsidP="002468C4">
      <w:pPr>
        <w:rPr>
          <w:iCs/>
        </w:rPr>
      </w:pPr>
    </w:p>
    <w:p w14:paraId="468A0934" w14:textId="710B4801" w:rsidR="00DA1EEB" w:rsidRPr="00762C3A" w:rsidRDefault="002F2A13" w:rsidP="002468C4">
      <w:pPr>
        <w:rPr>
          <w:iCs/>
        </w:rPr>
      </w:pPr>
      <w:r>
        <w:rPr>
          <w:iCs/>
        </w:rPr>
        <w:t>Over the past 10+ years, the</w:t>
      </w:r>
      <w:r w:rsidR="00762C3A">
        <w:rPr>
          <w:iCs/>
        </w:rPr>
        <w:t xml:space="preserve"> JWG eAccessibility has been used for coordination between the ESOs and for cooperation with </w:t>
      </w:r>
      <w:r w:rsidR="00762C3A" w:rsidRPr="00762C3A">
        <w:rPr>
          <w:iCs/>
        </w:rPr>
        <w:t xml:space="preserve">relevant stakeholders, </w:t>
      </w:r>
      <w:proofErr w:type="gramStart"/>
      <w:r w:rsidR="00762C3A" w:rsidRPr="00762C3A">
        <w:rPr>
          <w:iCs/>
        </w:rPr>
        <w:t>e.g.</w:t>
      </w:r>
      <w:proofErr w:type="gramEnd"/>
      <w:r w:rsidR="00762C3A" w:rsidRPr="00762C3A">
        <w:rPr>
          <w:iCs/>
        </w:rPr>
        <w:t xml:space="preserve"> industry representatives, public authorities (i.e. procurers), people with disabilities and older people and their representative organisations, accessibility experts, consumer organisations</w:t>
      </w:r>
      <w:r w:rsidR="00762C3A">
        <w:rPr>
          <w:iCs/>
        </w:rPr>
        <w:t xml:space="preserve">. </w:t>
      </w:r>
    </w:p>
    <w:p w14:paraId="33E29AE3" w14:textId="77777777" w:rsidR="00762C3A" w:rsidRDefault="00762C3A" w:rsidP="002468C4">
      <w:pPr>
        <w:rPr>
          <w:iCs/>
        </w:rPr>
      </w:pPr>
    </w:p>
    <w:p w14:paraId="180626C0" w14:textId="2C2D7312" w:rsidR="00356AA1" w:rsidRDefault="00025C6C" w:rsidP="00025C6C">
      <w:pPr>
        <w:rPr>
          <w:iCs/>
        </w:rPr>
      </w:pPr>
      <w:r>
        <w:rPr>
          <w:iCs/>
        </w:rPr>
        <w:t xml:space="preserve">The EC has </w:t>
      </w:r>
      <w:r w:rsidR="008F1A82">
        <w:rPr>
          <w:iCs/>
        </w:rPr>
        <w:t>drafted</w:t>
      </w:r>
      <w:r>
        <w:rPr>
          <w:iCs/>
        </w:rPr>
        <w:t xml:space="preserve"> a</w:t>
      </w:r>
      <w:r w:rsidR="00BD7544">
        <w:rPr>
          <w:iCs/>
        </w:rPr>
        <w:t xml:space="preserve"> new </w:t>
      </w:r>
      <w:r w:rsidR="00F81EA3">
        <w:rPr>
          <w:iCs/>
        </w:rPr>
        <w:t xml:space="preserve">Standardization Request relative to the </w:t>
      </w:r>
      <w:r w:rsidR="006C01EF">
        <w:rPr>
          <w:iCs/>
        </w:rPr>
        <w:t xml:space="preserve">implementation of the </w:t>
      </w:r>
      <w:r w:rsidR="00F81EA3">
        <w:rPr>
          <w:iCs/>
        </w:rPr>
        <w:t xml:space="preserve">European </w:t>
      </w:r>
      <w:proofErr w:type="spellStart"/>
      <w:r w:rsidR="00F81EA3">
        <w:rPr>
          <w:iCs/>
        </w:rPr>
        <w:t>Accessibilty</w:t>
      </w:r>
      <w:proofErr w:type="spellEnd"/>
      <w:r w:rsidR="00F81EA3">
        <w:rPr>
          <w:iCs/>
        </w:rPr>
        <w:t xml:space="preserve"> Act </w:t>
      </w:r>
      <w:r>
        <w:rPr>
          <w:iCs/>
        </w:rPr>
        <w:t xml:space="preserve">which </w:t>
      </w:r>
      <w:r w:rsidR="003B1203">
        <w:rPr>
          <w:iCs/>
        </w:rPr>
        <w:t xml:space="preserve">should </w:t>
      </w:r>
      <w:r>
        <w:rPr>
          <w:iCs/>
        </w:rPr>
        <w:t xml:space="preserve">be adopted and </w:t>
      </w:r>
      <w:r w:rsidR="001B1A2A">
        <w:rPr>
          <w:iCs/>
        </w:rPr>
        <w:t xml:space="preserve">notified to </w:t>
      </w:r>
      <w:r w:rsidR="00FD68E3">
        <w:rPr>
          <w:iCs/>
        </w:rPr>
        <w:t>CEN CENELEC and ETSI</w:t>
      </w:r>
      <w:r>
        <w:rPr>
          <w:iCs/>
        </w:rPr>
        <w:t xml:space="preserve"> s</w:t>
      </w:r>
      <w:r w:rsidR="003B1203">
        <w:rPr>
          <w:iCs/>
        </w:rPr>
        <w:t xml:space="preserve">oon </w:t>
      </w:r>
      <w:r w:rsidR="00FD68E3">
        <w:rPr>
          <w:iCs/>
        </w:rPr>
        <w:t>(expected in the September 2022 timeframe</w:t>
      </w:r>
      <w:r w:rsidR="008F1A82">
        <w:rPr>
          <w:iCs/>
        </w:rPr>
        <w:t>). A</w:t>
      </w:r>
      <w:r w:rsidR="00356AA1">
        <w:rPr>
          <w:iCs/>
        </w:rPr>
        <w:t xml:space="preserve"> final draft </w:t>
      </w:r>
      <w:r>
        <w:rPr>
          <w:iCs/>
        </w:rPr>
        <w:t xml:space="preserve">of this </w:t>
      </w:r>
      <w:r w:rsidR="003B1203">
        <w:rPr>
          <w:iCs/>
        </w:rPr>
        <w:t xml:space="preserve">Implementing Decision </w:t>
      </w:r>
      <w:r w:rsidRPr="00025C6C">
        <w:rPr>
          <w:iCs/>
        </w:rPr>
        <w:t xml:space="preserve">on a standardisation request to the </w:t>
      </w:r>
      <w:r w:rsidR="003B5B7A">
        <w:rPr>
          <w:iCs/>
        </w:rPr>
        <w:t>ESOs</w:t>
      </w:r>
      <w:r w:rsidRPr="00025C6C">
        <w:rPr>
          <w:iCs/>
        </w:rPr>
        <w:t xml:space="preserve"> as regards</w:t>
      </w:r>
      <w:r w:rsidR="00CD155C">
        <w:rPr>
          <w:iCs/>
        </w:rPr>
        <w:t xml:space="preserve"> </w:t>
      </w:r>
      <w:r w:rsidRPr="00025C6C">
        <w:rPr>
          <w:iCs/>
        </w:rPr>
        <w:t xml:space="preserve">the accessibility requirements of products and services in support of Directive (EU)2019/882 </w:t>
      </w:r>
      <w:r w:rsidR="00356AA1">
        <w:rPr>
          <w:iCs/>
        </w:rPr>
        <w:t>was sent to the Committee of Standards for voting on 23 June 2022, closing the commenting period.</w:t>
      </w:r>
    </w:p>
    <w:p w14:paraId="62B085B9" w14:textId="77777777" w:rsidR="00356AA1" w:rsidRDefault="00356AA1" w:rsidP="002468C4">
      <w:pPr>
        <w:rPr>
          <w:iCs/>
        </w:rPr>
      </w:pPr>
    </w:p>
    <w:p w14:paraId="5E7E3042" w14:textId="3164069E" w:rsidR="00FD68E3" w:rsidRDefault="007E17DE" w:rsidP="002468C4">
      <w:pPr>
        <w:rPr>
          <w:iCs/>
        </w:rPr>
      </w:pPr>
      <w:r>
        <w:rPr>
          <w:iCs/>
        </w:rPr>
        <w:t xml:space="preserve">During the consultation period, </w:t>
      </w:r>
      <w:r w:rsidR="00933294">
        <w:rPr>
          <w:iCs/>
        </w:rPr>
        <w:t xml:space="preserve">CEN CENELEC and </w:t>
      </w:r>
      <w:r>
        <w:rPr>
          <w:iCs/>
        </w:rPr>
        <w:t xml:space="preserve">ETSI </w:t>
      </w:r>
      <w:r w:rsidR="00933294">
        <w:rPr>
          <w:iCs/>
        </w:rPr>
        <w:t xml:space="preserve">had the opportunity to provide </w:t>
      </w:r>
      <w:r>
        <w:rPr>
          <w:iCs/>
        </w:rPr>
        <w:t>comment</w:t>
      </w:r>
      <w:r w:rsidR="00933294">
        <w:rPr>
          <w:iCs/>
        </w:rPr>
        <w:t>s on</w:t>
      </w:r>
      <w:r>
        <w:rPr>
          <w:iCs/>
        </w:rPr>
        <w:t xml:space="preserve"> the draft </w:t>
      </w:r>
      <w:r w:rsidR="00933294">
        <w:rPr>
          <w:iCs/>
        </w:rPr>
        <w:t>but also to prepare for its execution. The revision of the ToR of the JWG eAccessibility was ne</w:t>
      </w:r>
      <w:r w:rsidR="00F049A3">
        <w:rPr>
          <w:iCs/>
        </w:rPr>
        <w:t xml:space="preserve">cessary </w:t>
      </w:r>
      <w:r w:rsidR="00933294">
        <w:rPr>
          <w:iCs/>
        </w:rPr>
        <w:t>to</w:t>
      </w:r>
      <w:r w:rsidR="00F049A3">
        <w:rPr>
          <w:iCs/>
        </w:rPr>
        <w:t xml:space="preserve"> be ready for </w:t>
      </w:r>
      <w:r w:rsidR="00933294">
        <w:rPr>
          <w:iCs/>
        </w:rPr>
        <w:t xml:space="preserve">this upcoming Standardization Request. </w:t>
      </w:r>
    </w:p>
    <w:p w14:paraId="1348F10D" w14:textId="70544A20" w:rsidR="00933294" w:rsidRDefault="00933294" w:rsidP="002468C4">
      <w:pPr>
        <w:rPr>
          <w:iCs/>
        </w:rPr>
      </w:pPr>
    </w:p>
    <w:p w14:paraId="6CAC95A0" w14:textId="746F70BF" w:rsidR="00933294" w:rsidRDefault="004F41FF" w:rsidP="002468C4">
      <w:pPr>
        <w:rPr>
          <w:iCs/>
        </w:rPr>
      </w:pPr>
      <w:r>
        <w:rPr>
          <w:iCs/>
        </w:rPr>
        <w:t xml:space="preserve">The new ToR are provided in page 3 and 4 of the present </w:t>
      </w:r>
      <w:r w:rsidR="00F56766">
        <w:rPr>
          <w:iCs/>
        </w:rPr>
        <w:t>contribut</w:t>
      </w:r>
      <w:r>
        <w:rPr>
          <w:iCs/>
        </w:rPr>
        <w:t xml:space="preserve">ion. </w:t>
      </w:r>
      <w:r w:rsidR="00933294">
        <w:rPr>
          <w:iCs/>
        </w:rPr>
        <w:t xml:space="preserve">The main changes from the initial ToR are as follows: </w:t>
      </w:r>
    </w:p>
    <w:p w14:paraId="5C282873" w14:textId="77777777" w:rsidR="00F830A9" w:rsidRDefault="00F830A9" w:rsidP="002468C4">
      <w:pPr>
        <w:rPr>
          <w:iCs/>
        </w:rPr>
      </w:pPr>
    </w:p>
    <w:p w14:paraId="613D8F9F" w14:textId="3DFAFFD6" w:rsidR="00933294" w:rsidRPr="00F645BF" w:rsidRDefault="00F830A9" w:rsidP="00933294">
      <w:pPr>
        <w:pStyle w:val="ListParagraph"/>
        <w:numPr>
          <w:ilvl w:val="0"/>
          <w:numId w:val="12"/>
        </w:numPr>
        <w:rPr>
          <w:rFonts w:ascii="Arial" w:eastAsia="Times New Roman" w:hAnsi="Arial"/>
          <w:iCs/>
          <w:sz w:val="20"/>
          <w:szCs w:val="20"/>
        </w:rPr>
      </w:pPr>
      <w:r w:rsidRPr="00F645BF">
        <w:rPr>
          <w:rFonts w:ascii="Arial" w:eastAsia="Times New Roman" w:hAnsi="Arial"/>
          <w:iCs/>
          <w:sz w:val="20"/>
          <w:szCs w:val="20"/>
        </w:rPr>
        <w:t xml:space="preserve">The Joint Working Group </w:t>
      </w:r>
      <w:r w:rsidR="004F6BE7">
        <w:rPr>
          <w:rFonts w:ascii="Arial" w:eastAsia="Times New Roman" w:hAnsi="Arial"/>
          <w:iCs/>
          <w:sz w:val="20"/>
          <w:szCs w:val="20"/>
        </w:rPr>
        <w:t>eA</w:t>
      </w:r>
      <w:r w:rsidR="004F6BE7" w:rsidRPr="00F645BF">
        <w:rPr>
          <w:rFonts w:ascii="Arial" w:eastAsia="Times New Roman" w:hAnsi="Arial"/>
          <w:iCs/>
          <w:sz w:val="20"/>
          <w:szCs w:val="20"/>
        </w:rPr>
        <w:t>ccessibility</w:t>
      </w:r>
      <w:r w:rsidRPr="00F645BF">
        <w:rPr>
          <w:rFonts w:ascii="Arial" w:eastAsia="Times New Roman" w:hAnsi="Arial"/>
          <w:iCs/>
          <w:sz w:val="20"/>
          <w:szCs w:val="20"/>
        </w:rPr>
        <w:t xml:space="preserve"> </w:t>
      </w:r>
      <w:r w:rsidR="00A61127">
        <w:rPr>
          <w:rFonts w:ascii="Arial" w:eastAsia="Times New Roman" w:hAnsi="Arial"/>
          <w:iCs/>
          <w:sz w:val="20"/>
          <w:szCs w:val="20"/>
        </w:rPr>
        <w:t>is renamed</w:t>
      </w:r>
      <w:r w:rsidRPr="00F645BF">
        <w:rPr>
          <w:rFonts w:ascii="Arial" w:eastAsia="Times New Roman" w:hAnsi="Arial"/>
          <w:iCs/>
          <w:sz w:val="20"/>
          <w:szCs w:val="20"/>
        </w:rPr>
        <w:t xml:space="preserve"> </w:t>
      </w:r>
      <w:r w:rsidR="0022313A" w:rsidRPr="00F645BF">
        <w:rPr>
          <w:rFonts w:ascii="Arial" w:eastAsia="Times New Roman" w:hAnsi="Arial"/>
          <w:iCs/>
          <w:sz w:val="20"/>
          <w:szCs w:val="20"/>
        </w:rPr>
        <w:t xml:space="preserve">Joint Technical Body </w:t>
      </w:r>
      <w:r w:rsidR="004F6BE7">
        <w:rPr>
          <w:rFonts w:ascii="Arial" w:eastAsia="Times New Roman" w:hAnsi="Arial"/>
          <w:iCs/>
          <w:sz w:val="20"/>
          <w:szCs w:val="20"/>
        </w:rPr>
        <w:t>eA</w:t>
      </w:r>
      <w:r w:rsidR="004F6BE7" w:rsidRPr="00F645BF">
        <w:rPr>
          <w:rFonts w:ascii="Arial" w:eastAsia="Times New Roman" w:hAnsi="Arial"/>
          <w:iCs/>
          <w:sz w:val="20"/>
          <w:szCs w:val="20"/>
        </w:rPr>
        <w:t>ccessibility</w:t>
      </w:r>
      <w:r w:rsidRPr="00F645BF">
        <w:rPr>
          <w:rFonts w:ascii="Arial" w:eastAsia="Times New Roman" w:hAnsi="Arial"/>
          <w:iCs/>
          <w:sz w:val="20"/>
          <w:szCs w:val="20"/>
        </w:rPr>
        <w:t xml:space="preserve"> for consistency purposes. </w:t>
      </w:r>
    </w:p>
    <w:p w14:paraId="7373866B" w14:textId="48E8E490" w:rsidR="0022313A" w:rsidRPr="00F645BF" w:rsidRDefault="0022313A" w:rsidP="00933294">
      <w:pPr>
        <w:pStyle w:val="ListParagraph"/>
        <w:numPr>
          <w:ilvl w:val="0"/>
          <w:numId w:val="12"/>
        </w:numPr>
        <w:rPr>
          <w:rFonts w:ascii="Arial" w:eastAsia="Times New Roman" w:hAnsi="Arial"/>
          <w:iCs/>
          <w:sz w:val="20"/>
          <w:szCs w:val="20"/>
        </w:rPr>
      </w:pPr>
      <w:r w:rsidRPr="00F645BF">
        <w:rPr>
          <w:rFonts w:ascii="Arial" w:eastAsia="Times New Roman" w:hAnsi="Arial"/>
          <w:iCs/>
          <w:sz w:val="20"/>
          <w:szCs w:val="20"/>
        </w:rPr>
        <w:t xml:space="preserve">The scope no longer </w:t>
      </w:r>
      <w:r w:rsidR="00F830A9" w:rsidRPr="00F645BF">
        <w:rPr>
          <w:rFonts w:ascii="Arial" w:eastAsia="Times New Roman" w:hAnsi="Arial"/>
          <w:iCs/>
          <w:sz w:val="20"/>
          <w:szCs w:val="20"/>
        </w:rPr>
        <w:t>refers</w:t>
      </w:r>
      <w:r w:rsidRPr="00F645BF">
        <w:rPr>
          <w:rFonts w:ascii="Arial" w:eastAsia="Times New Roman" w:hAnsi="Arial"/>
          <w:iCs/>
          <w:sz w:val="20"/>
          <w:szCs w:val="20"/>
        </w:rPr>
        <w:t xml:space="preserve"> to Mandate M/376</w:t>
      </w:r>
      <w:r w:rsidR="00F830A9" w:rsidRPr="00F645BF">
        <w:rPr>
          <w:rFonts w:ascii="Arial" w:eastAsia="Times New Roman" w:hAnsi="Arial"/>
          <w:iCs/>
          <w:sz w:val="20"/>
          <w:szCs w:val="20"/>
        </w:rPr>
        <w:t xml:space="preserve"> but to </w:t>
      </w:r>
      <w:r w:rsidR="00A61127">
        <w:rPr>
          <w:rFonts w:ascii="Arial" w:eastAsia="Times New Roman" w:hAnsi="Arial"/>
          <w:iCs/>
          <w:sz w:val="20"/>
          <w:szCs w:val="20"/>
        </w:rPr>
        <w:t>the</w:t>
      </w:r>
      <w:r w:rsidR="00F830A9" w:rsidRPr="00F645BF">
        <w:rPr>
          <w:rFonts w:ascii="Arial" w:eastAsia="Times New Roman" w:hAnsi="Arial"/>
          <w:iCs/>
          <w:sz w:val="20"/>
          <w:szCs w:val="20"/>
        </w:rPr>
        <w:t xml:space="preserve"> technical scope of work. </w:t>
      </w:r>
    </w:p>
    <w:p w14:paraId="5C89F8CB" w14:textId="630E5049" w:rsidR="0022313A" w:rsidRPr="00F645BF" w:rsidRDefault="0022313A" w:rsidP="00933294">
      <w:pPr>
        <w:pStyle w:val="ListParagraph"/>
        <w:numPr>
          <w:ilvl w:val="0"/>
          <w:numId w:val="12"/>
        </w:numPr>
        <w:rPr>
          <w:rFonts w:ascii="Arial" w:eastAsia="Times New Roman" w:hAnsi="Arial"/>
          <w:iCs/>
          <w:sz w:val="20"/>
          <w:szCs w:val="20"/>
        </w:rPr>
      </w:pPr>
      <w:r w:rsidRPr="00F645BF">
        <w:rPr>
          <w:rFonts w:ascii="Arial" w:eastAsia="Times New Roman" w:hAnsi="Arial"/>
          <w:iCs/>
          <w:sz w:val="20"/>
          <w:szCs w:val="20"/>
        </w:rPr>
        <w:t>The election process</w:t>
      </w:r>
      <w:r w:rsidR="00F645BF" w:rsidRPr="00F645BF">
        <w:rPr>
          <w:rFonts w:ascii="Arial" w:eastAsia="Times New Roman" w:hAnsi="Arial"/>
          <w:iCs/>
          <w:sz w:val="20"/>
          <w:szCs w:val="20"/>
        </w:rPr>
        <w:t xml:space="preserve"> of officials</w:t>
      </w:r>
      <w:r w:rsidRPr="00F645BF">
        <w:rPr>
          <w:rFonts w:ascii="Arial" w:eastAsia="Times New Roman" w:hAnsi="Arial"/>
          <w:iCs/>
          <w:sz w:val="20"/>
          <w:szCs w:val="20"/>
        </w:rPr>
        <w:t xml:space="preserve"> has been spelled out, in line with the</w:t>
      </w:r>
      <w:r w:rsidR="00023738">
        <w:rPr>
          <w:rFonts w:ascii="Arial" w:eastAsia="Times New Roman" w:hAnsi="Arial"/>
          <w:iCs/>
          <w:sz w:val="20"/>
          <w:szCs w:val="20"/>
        </w:rPr>
        <w:t xml:space="preserve"> newly</w:t>
      </w:r>
      <w:r w:rsidRPr="00F645BF">
        <w:rPr>
          <w:rFonts w:ascii="Arial" w:eastAsia="Times New Roman" w:hAnsi="Arial"/>
          <w:iCs/>
          <w:sz w:val="20"/>
          <w:szCs w:val="20"/>
        </w:rPr>
        <w:t xml:space="preserve"> revised Mode 5</w:t>
      </w:r>
      <w:r w:rsidR="00023738">
        <w:rPr>
          <w:rFonts w:ascii="Arial" w:eastAsia="Times New Roman" w:hAnsi="Arial"/>
          <w:iCs/>
          <w:sz w:val="20"/>
          <w:szCs w:val="20"/>
        </w:rPr>
        <w:t>.</w:t>
      </w:r>
    </w:p>
    <w:p w14:paraId="2269A4FF" w14:textId="68E59BC5" w:rsidR="007E17DE" w:rsidRDefault="00F645BF" w:rsidP="002468C4">
      <w:pPr>
        <w:pStyle w:val="ListParagraph"/>
        <w:numPr>
          <w:ilvl w:val="0"/>
          <w:numId w:val="12"/>
        </w:numPr>
        <w:rPr>
          <w:rFonts w:ascii="Arial" w:eastAsia="Times New Roman" w:hAnsi="Arial"/>
          <w:iCs/>
          <w:sz w:val="20"/>
          <w:szCs w:val="20"/>
        </w:rPr>
      </w:pPr>
      <w:r w:rsidRPr="00F645BF">
        <w:rPr>
          <w:rFonts w:ascii="Arial" w:eastAsia="Times New Roman" w:hAnsi="Arial"/>
          <w:iCs/>
          <w:sz w:val="20"/>
          <w:szCs w:val="20"/>
        </w:rPr>
        <w:t xml:space="preserve">A section </w:t>
      </w:r>
      <w:r w:rsidR="00023738">
        <w:rPr>
          <w:rFonts w:ascii="Arial" w:eastAsia="Times New Roman" w:hAnsi="Arial"/>
          <w:iCs/>
          <w:sz w:val="20"/>
          <w:szCs w:val="20"/>
        </w:rPr>
        <w:t xml:space="preserve">(6) </w:t>
      </w:r>
      <w:r w:rsidRPr="00F645BF">
        <w:rPr>
          <w:rFonts w:ascii="Arial" w:eastAsia="Times New Roman" w:hAnsi="Arial"/>
          <w:iCs/>
          <w:sz w:val="20"/>
          <w:szCs w:val="20"/>
        </w:rPr>
        <w:t xml:space="preserve">on the Accessibility of the Standardization process </w:t>
      </w:r>
      <w:r w:rsidR="00023738">
        <w:rPr>
          <w:rFonts w:ascii="Arial" w:eastAsia="Times New Roman" w:hAnsi="Arial"/>
          <w:iCs/>
          <w:sz w:val="20"/>
          <w:szCs w:val="20"/>
        </w:rPr>
        <w:t>has been added to the ToR</w:t>
      </w:r>
      <w:r w:rsidRPr="00F645BF">
        <w:rPr>
          <w:rFonts w:ascii="Arial" w:eastAsia="Times New Roman" w:hAnsi="Arial"/>
          <w:iCs/>
          <w:sz w:val="20"/>
          <w:szCs w:val="20"/>
        </w:rPr>
        <w:t xml:space="preserve">. </w:t>
      </w:r>
    </w:p>
    <w:p w14:paraId="3A765124" w14:textId="4529434E" w:rsidR="00F8584B" w:rsidRPr="00A71E43" w:rsidRDefault="00A61127" w:rsidP="002468C4">
      <w:pPr>
        <w:pStyle w:val="ListParagraph"/>
        <w:numPr>
          <w:ilvl w:val="0"/>
          <w:numId w:val="12"/>
        </w:numPr>
        <w:rPr>
          <w:rFonts w:ascii="Arial" w:eastAsia="Times New Roman" w:hAnsi="Arial"/>
          <w:iCs/>
          <w:sz w:val="20"/>
          <w:szCs w:val="20"/>
        </w:rPr>
      </w:pPr>
      <w:r>
        <w:rPr>
          <w:rFonts w:ascii="Arial" w:eastAsia="Times New Roman" w:hAnsi="Arial"/>
          <w:iCs/>
          <w:sz w:val="20"/>
          <w:szCs w:val="20"/>
        </w:rPr>
        <w:t>The ToR includes the mode 5 revision as its Annex A, which will be updated once the Mode 5 is formally approved</w:t>
      </w:r>
      <w:r w:rsidR="00E77EE3">
        <w:rPr>
          <w:rFonts w:ascii="Arial" w:eastAsia="Times New Roman" w:hAnsi="Arial"/>
          <w:iCs/>
          <w:sz w:val="20"/>
          <w:szCs w:val="20"/>
        </w:rPr>
        <w:t xml:space="preserve"> by the JPG. </w:t>
      </w:r>
    </w:p>
    <w:p w14:paraId="0F23A8FE" w14:textId="314262C5" w:rsidR="00E77EE3" w:rsidRDefault="00C907D6" w:rsidP="002468C4">
      <w:pPr>
        <w:rPr>
          <w:iCs/>
        </w:rPr>
      </w:pPr>
      <w:r>
        <w:rPr>
          <w:iCs/>
        </w:rPr>
        <w:t>The</w:t>
      </w:r>
      <w:r w:rsidR="00F56766">
        <w:rPr>
          <w:iCs/>
        </w:rPr>
        <w:t xml:space="preserve"> following</w:t>
      </w:r>
      <w:r w:rsidR="00F8584B">
        <w:rPr>
          <w:iCs/>
        </w:rPr>
        <w:t xml:space="preserve"> </w:t>
      </w:r>
      <w:r w:rsidR="00967DF4">
        <w:rPr>
          <w:iCs/>
        </w:rPr>
        <w:t>decision</w:t>
      </w:r>
      <w:r w:rsidR="00A71E43">
        <w:rPr>
          <w:iCs/>
        </w:rPr>
        <w:t xml:space="preserve"> to approve these changes</w:t>
      </w:r>
      <w:r w:rsidR="00967DF4">
        <w:rPr>
          <w:iCs/>
        </w:rPr>
        <w:t xml:space="preserve"> </w:t>
      </w:r>
      <w:r w:rsidR="004252D4">
        <w:rPr>
          <w:iCs/>
        </w:rPr>
        <w:t xml:space="preserve">was </w:t>
      </w:r>
      <w:r w:rsidR="00967DF4">
        <w:rPr>
          <w:iCs/>
        </w:rPr>
        <w:t>taken at the last meeting of CEN-CLC-ETSI JWG eAccessibility</w:t>
      </w:r>
      <w:r w:rsidR="00A71E43">
        <w:rPr>
          <w:iCs/>
        </w:rPr>
        <w:t xml:space="preserve"> </w:t>
      </w:r>
    </w:p>
    <w:p w14:paraId="14BE48FA" w14:textId="77777777" w:rsidR="00E77EE3" w:rsidRDefault="00E77EE3" w:rsidP="002468C4">
      <w:pPr>
        <w:rPr>
          <w:iCs/>
        </w:rPr>
      </w:pPr>
    </w:p>
    <w:p w14:paraId="5153E82B" w14:textId="2F19743A" w:rsidR="00391754" w:rsidRDefault="00C907D6" w:rsidP="002468C4">
      <w:pPr>
        <w:rPr>
          <w:iCs/>
        </w:rPr>
      </w:pPr>
      <w:r>
        <w:rPr>
          <w:iCs/>
        </w:rPr>
        <w:t>Hence, t</w:t>
      </w:r>
      <w:r w:rsidRPr="00C907D6">
        <w:rPr>
          <w:iCs/>
        </w:rPr>
        <w:t xml:space="preserve">he Board is invited </w:t>
      </w:r>
      <w:r w:rsidR="006623A7">
        <w:rPr>
          <w:iCs/>
        </w:rPr>
        <w:t>to approve the revised ToR of CEN – CLC-ETSI JTB eAccessibility</w:t>
      </w:r>
      <w:r w:rsidR="003621F1">
        <w:rPr>
          <w:iCs/>
        </w:rPr>
        <w:t xml:space="preserve"> </w:t>
      </w:r>
      <w:r w:rsidR="00FC7045">
        <w:rPr>
          <w:iCs/>
        </w:rPr>
        <w:t xml:space="preserve">(as provided </w:t>
      </w:r>
      <w:r w:rsidR="003621F1">
        <w:rPr>
          <w:iCs/>
        </w:rPr>
        <w:t>on page</w:t>
      </w:r>
      <w:r w:rsidR="00FC7045">
        <w:rPr>
          <w:iCs/>
        </w:rPr>
        <w:t>s</w:t>
      </w:r>
      <w:r w:rsidR="003621F1">
        <w:rPr>
          <w:iCs/>
        </w:rPr>
        <w:t xml:space="preserve"> 3 and 4 below</w:t>
      </w:r>
      <w:r w:rsidR="00FC7045">
        <w:rPr>
          <w:iCs/>
        </w:rPr>
        <w:t>)</w:t>
      </w:r>
      <w:r w:rsidR="003621F1">
        <w:rPr>
          <w:iCs/>
        </w:rPr>
        <w:t xml:space="preserve">. </w:t>
      </w:r>
    </w:p>
    <w:p w14:paraId="32AEB52E" w14:textId="736969AB" w:rsidR="002468C4" w:rsidRDefault="002468C4" w:rsidP="002468C4">
      <w:pPr>
        <w:rPr>
          <w:i/>
        </w:rPr>
      </w:pPr>
    </w:p>
    <w:p w14:paraId="2E07BBA9" w14:textId="77777777" w:rsidR="002468C4" w:rsidRDefault="002468C4" w:rsidP="002468C4">
      <w:pPr>
        <w:rPr>
          <w:i/>
        </w:rPr>
      </w:pPr>
    </w:p>
    <w:p w14:paraId="442CC640" w14:textId="77777777" w:rsidR="00F82144" w:rsidRDefault="00F82144" w:rsidP="00F82144">
      <w:pPr>
        <w:spacing w:after="200" w:line="276" w:lineRule="auto"/>
        <w:rPr>
          <w:rFonts w:ascii="Verdana" w:eastAsia="Verdana" w:hAnsi="Verdana"/>
          <w:b/>
          <w:bCs/>
        </w:rPr>
      </w:pPr>
      <w:r>
        <w:rPr>
          <w:rFonts w:ascii="Verdana" w:eastAsia="Verdana" w:hAnsi="Verdana"/>
          <w:b/>
          <w:bCs/>
          <w:noProof/>
        </w:rPr>
        <w:t>DECISION 2/2022</w:t>
      </w:r>
      <w:r>
        <w:rPr>
          <w:rFonts w:ascii="Verdana" w:eastAsia="Verdana" w:hAnsi="Verdana"/>
          <w:b/>
          <w:bCs/>
          <w:i/>
          <w:iCs/>
          <w:noProof/>
        </w:rPr>
        <w:t xml:space="preserve"> </w:t>
      </w:r>
      <w:r>
        <w:rPr>
          <w:rFonts w:ascii="Verdana" w:eastAsia="Verdana" w:hAnsi="Verdana"/>
          <w:b/>
          <w:bCs/>
          <w:noProof/>
        </w:rPr>
        <w:t xml:space="preserve">taken by CEN-CENELEC-ETSI JWG eAccessibility on </w:t>
      </w:r>
      <w:r>
        <w:rPr>
          <w:rFonts w:ascii="Verdana" w:eastAsia="Verdana" w:hAnsi="Verdana"/>
          <w:b/>
          <w:bCs/>
          <w:i/>
          <w:iCs/>
          <w:noProof/>
        </w:rPr>
        <w:t>2022-06-22</w:t>
      </w:r>
    </w:p>
    <w:p w14:paraId="04BE6B4E" w14:textId="77777777" w:rsidR="00F82144" w:rsidRDefault="00F82144" w:rsidP="00F82144">
      <w:pPr>
        <w:spacing w:after="200" w:line="276" w:lineRule="auto"/>
        <w:rPr>
          <w:rFonts w:ascii="Verdana" w:eastAsia="Verdana" w:hAnsi="Verdana"/>
          <w:b/>
          <w:bCs/>
          <w:noProof/>
        </w:rPr>
      </w:pPr>
      <w:r>
        <w:rPr>
          <w:rFonts w:ascii="Verdana" w:eastAsia="Verdana" w:hAnsi="Verdana"/>
          <w:noProof/>
          <w:u w:val="single"/>
        </w:rPr>
        <w:t>Subject</w:t>
      </w:r>
      <w:r>
        <w:rPr>
          <w:rFonts w:ascii="Verdana" w:eastAsia="Verdana" w:hAnsi="Verdana"/>
          <w:noProof/>
        </w:rPr>
        <w:t>: Terms of Reference of the CEN-CLC-ETSI JWG eAccessibility.</w:t>
      </w:r>
    </w:p>
    <w:p w14:paraId="182751F3" w14:textId="77777777" w:rsidR="00F82144" w:rsidRDefault="00F82144" w:rsidP="00F82144">
      <w:pPr>
        <w:spacing w:after="200" w:line="276" w:lineRule="auto"/>
        <w:rPr>
          <w:rFonts w:ascii="Verdana" w:eastAsia="Verdana" w:hAnsi="Verdana"/>
          <w:noProof/>
        </w:rPr>
      </w:pPr>
      <w:r>
        <w:rPr>
          <w:rFonts w:ascii="Verdana" w:eastAsia="Verdana" w:hAnsi="Verdana"/>
          <w:noProof/>
        </w:rPr>
        <w:t>The CEN-CENELEC-ETSI JWG eAccessibility,</w:t>
      </w:r>
    </w:p>
    <w:p w14:paraId="377F9D1D" w14:textId="77777777" w:rsidR="00F82144" w:rsidRDefault="00F82144" w:rsidP="00F82144">
      <w:pPr>
        <w:pStyle w:val="ListParagraph"/>
        <w:numPr>
          <w:ilvl w:val="0"/>
          <w:numId w:val="8"/>
        </w:numPr>
        <w:jc w:val="both"/>
        <w:rPr>
          <w:rFonts w:ascii="Verdana" w:eastAsia="Verdana" w:hAnsi="Verdana"/>
          <w:noProof/>
          <w:sz w:val="20"/>
          <w:szCs w:val="20"/>
        </w:rPr>
      </w:pPr>
      <w:r>
        <w:rPr>
          <w:rFonts w:ascii="Verdana" w:eastAsia="Verdana" w:hAnsi="Verdana"/>
          <w:noProof/>
          <w:sz w:val="20"/>
          <w:szCs w:val="20"/>
        </w:rPr>
        <w:t>Considering the work carried out by the ad-hoc group drafting v1.0 of the new Terms of Reference (ToR) of the JWG (see N593).</w:t>
      </w:r>
    </w:p>
    <w:p w14:paraId="35BB201A" w14:textId="77777777" w:rsidR="00F82144" w:rsidRDefault="00F82144" w:rsidP="00F82144">
      <w:pPr>
        <w:pStyle w:val="ListParagraph"/>
        <w:numPr>
          <w:ilvl w:val="0"/>
          <w:numId w:val="8"/>
        </w:numPr>
        <w:jc w:val="both"/>
        <w:rPr>
          <w:rFonts w:ascii="Verdana" w:eastAsia="Verdana" w:hAnsi="Verdana"/>
          <w:noProof/>
          <w:sz w:val="20"/>
          <w:szCs w:val="20"/>
        </w:rPr>
      </w:pPr>
      <w:r>
        <w:rPr>
          <w:rFonts w:ascii="Verdana" w:eastAsia="Verdana" w:hAnsi="Verdana"/>
          <w:noProof/>
          <w:sz w:val="20"/>
          <w:szCs w:val="20"/>
        </w:rPr>
        <w:t>Considering the outcome of round of comments on v1.0 (see N595).</w:t>
      </w:r>
    </w:p>
    <w:p w14:paraId="66CB529F" w14:textId="77777777" w:rsidR="00F82144" w:rsidRDefault="00F82144" w:rsidP="00F82144">
      <w:pPr>
        <w:pStyle w:val="ListParagraph"/>
        <w:numPr>
          <w:ilvl w:val="0"/>
          <w:numId w:val="8"/>
        </w:numPr>
        <w:jc w:val="both"/>
        <w:rPr>
          <w:rFonts w:ascii="Verdana" w:eastAsia="Verdana" w:hAnsi="Verdana"/>
          <w:noProof/>
          <w:sz w:val="20"/>
          <w:szCs w:val="20"/>
        </w:rPr>
      </w:pPr>
      <w:r>
        <w:rPr>
          <w:rFonts w:ascii="Verdana" w:eastAsia="Verdana" w:hAnsi="Verdana"/>
          <w:noProof/>
          <w:sz w:val="20"/>
          <w:szCs w:val="20"/>
        </w:rPr>
        <w:t>After reviewing v1.1 (see N597) at the 2022-06-22 meeting.</w:t>
      </w:r>
    </w:p>
    <w:p w14:paraId="212D7B0D" w14:textId="77777777" w:rsidR="00F82144" w:rsidRDefault="00F82144" w:rsidP="00F82144">
      <w:pPr>
        <w:pStyle w:val="ListParagraph"/>
        <w:numPr>
          <w:ilvl w:val="0"/>
          <w:numId w:val="8"/>
        </w:numPr>
        <w:jc w:val="both"/>
        <w:rPr>
          <w:rFonts w:ascii="Verdana" w:hAnsi="Verdana"/>
          <w:sz w:val="20"/>
          <w:szCs w:val="20"/>
        </w:rPr>
      </w:pPr>
      <w:r>
        <w:rPr>
          <w:rFonts w:ascii="Verdana" w:eastAsia="Verdana" w:hAnsi="Verdana"/>
          <w:noProof/>
          <w:sz w:val="20"/>
          <w:szCs w:val="20"/>
        </w:rPr>
        <w:t xml:space="preserve">Agrees version v1.2 (see N601) of the ToR. This version is approved conditioned to the ratification by the Joint Presidential Group of the new Mode 5. If, as expected, the new version of Mode 5 is ratified by the JPG (expected date, 2022-06-29), Annex A of version v1.2 of the ToR will be revised in order to include the final version of Mode 5. </w:t>
      </w:r>
    </w:p>
    <w:p w14:paraId="4238343D" w14:textId="2C873572" w:rsidR="00391754" w:rsidRPr="00391754" w:rsidRDefault="00391754" w:rsidP="00DC5823">
      <w:pPr>
        <w:pStyle w:val="ListParagraph"/>
        <w:ind w:left="0"/>
        <w:jc w:val="both"/>
        <w:rPr>
          <w:rFonts w:ascii="Verdana" w:hAnsi="Verdana"/>
          <w:i/>
          <w:iCs/>
          <w:sz w:val="20"/>
          <w:szCs w:val="20"/>
        </w:rPr>
      </w:pPr>
      <w:r w:rsidRPr="00391754">
        <w:rPr>
          <w:rFonts w:ascii="Verdana" w:hAnsi="Verdana"/>
          <w:i/>
          <w:iCs/>
          <w:sz w:val="20"/>
          <w:szCs w:val="20"/>
        </w:rPr>
        <w:t>END OF DECISION</w:t>
      </w:r>
      <w:r w:rsidR="005B1982">
        <w:rPr>
          <w:rFonts w:ascii="Verdana" w:hAnsi="Verdana"/>
          <w:i/>
          <w:iCs/>
          <w:sz w:val="20"/>
          <w:szCs w:val="20"/>
        </w:rPr>
        <w:t>.</w:t>
      </w:r>
    </w:p>
    <w:p w14:paraId="64719122" w14:textId="77777777" w:rsidR="00ED59A1" w:rsidRDefault="00ED59A1">
      <w:pPr>
        <w:pStyle w:val="Heading1"/>
      </w:pPr>
      <w:r>
        <w:t>4</w:t>
      </w:r>
      <w:r>
        <w:tab/>
        <w:t>Consequences and implications</w:t>
      </w:r>
    </w:p>
    <w:p w14:paraId="73D99E97" w14:textId="3DBAC621" w:rsidR="00ED59A1" w:rsidRDefault="0001591F">
      <w:pPr>
        <w:rPr>
          <w:i/>
        </w:rPr>
      </w:pPr>
      <w:r>
        <w:rPr>
          <w:i/>
        </w:rPr>
        <w:t>VOID.</w:t>
      </w:r>
    </w:p>
    <w:p w14:paraId="414FC6B7" w14:textId="77777777" w:rsidR="005B1982" w:rsidRDefault="005B1982">
      <w:pPr>
        <w:rPr>
          <w:i/>
        </w:rPr>
      </w:pPr>
    </w:p>
    <w:p w14:paraId="3E95685F" w14:textId="77777777" w:rsidR="00ED59A1" w:rsidRDefault="00ED59A1">
      <w:pPr>
        <w:pStyle w:val="Heading1"/>
      </w:pPr>
      <w:r>
        <w:t>5</w:t>
      </w:r>
      <w:r>
        <w:tab/>
        <w:t xml:space="preserve">Issues </w:t>
      </w:r>
      <w:r w:rsidR="000B2AF0">
        <w:t>for</w:t>
      </w:r>
      <w:r>
        <w:t xml:space="preserve"> discussion</w:t>
      </w:r>
    </w:p>
    <w:p w14:paraId="2E5D475F" w14:textId="3D4DAE9E" w:rsidR="00ED59A1" w:rsidRDefault="0001591F" w:rsidP="00C74A07">
      <w:pPr>
        <w:rPr>
          <w:i/>
        </w:rPr>
      </w:pPr>
      <w:r>
        <w:rPr>
          <w:i/>
        </w:rPr>
        <w:t>VOID.</w:t>
      </w:r>
    </w:p>
    <w:p w14:paraId="79F6A944" w14:textId="7A078E15" w:rsidR="003E0E91" w:rsidRDefault="003E0E91">
      <w:pPr>
        <w:tabs>
          <w:tab w:val="clear" w:pos="1418"/>
          <w:tab w:val="clear" w:pos="4678"/>
          <w:tab w:val="clear" w:pos="5954"/>
          <w:tab w:val="clear" w:pos="7088"/>
        </w:tabs>
        <w:overflowPunct/>
        <w:autoSpaceDE/>
        <w:autoSpaceDN/>
        <w:adjustRightInd/>
        <w:jc w:val="left"/>
        <w:textAlignment w:val="auto"/>
        <w:rPr>
          <w:i/>
        </w:rPr>
      </w:pPr>
    </w:p>
    <w:p w14:paraId="7C799746" w14:textId="77777777" w:rsidR="00FD20D9" w:rsidRPr="00F0781D" w:rsidRDefault="00FD20D9" w:rsidP="00FD20D9">
      <w:pPr>
        <w:jc w:val="center"/>
        <w:rPr>
          <w:noProof/>
          <w:lang w:eastAsia="en-GB"/>
        </w:rPr>
      </w:pPr>
      <w:r w:rsidRPr="00E92436">
        <w:rPr>
          <w:noProof/>
        </w:rPr>
        <w:lastRenderedPageBreak/>
        <w:drawing>
          <wp:inline distT="0" distB="0" distL="0" distR="0" wp14:anchorId="5DA573AD" wp14:editId="2F538B97">
            <wp:extent cx="3867150" cy="1168400"/>
            <wp:effectExtent l="0" t="0" r="0" b="0"/>
            <wp:docPr id="2" name="Image 2" descr="CEN_CENELEC_E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_CENELEC_ETS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67150" cy="1168400"/>
                    </a:xfrm>
                    <a:prstGeom prst="rect">
                      <a:avLst/>
                    </a:prstGeom>
                    <a:noFill/>
                    <a:ln>
                      <a:noFill/>
                    </a:ln>
                  </pic:spPr>
                </pic:pic>
              </a:graphicData>
            </a:graphic>
          </wp:inline>
        </w:drawing>
      </w:r>
    </w:p>
    <w:p w14:paraId="5FAD5E8D" w14:textId="77777777" w:rsidR="00FD20D9" w:rsidRPr="006F7985" w:rsidRDefault="00FD20D9" w:rsidP="00FD20D9">
      <w:pPr>
        <w:pStyle w:val="Heading1"/>
        <w:jc w:val="center"/>
        <w:rPr>
          <w:b w:val="0"/>
          <w:bCs/>
        </w:rPr>
      </w:pPr>
      <w:r w:rsidRPr="006F7985">
        <w:rPr>
          <w:bCs/>
        </w:rPr>
        <w:t>Terms of Reference (ToR)</w:t>
      </w:r>
    </w:p>
    <w:p w14:paraId="19112676" w14:textId="77777777" w:rsidR="00FD20D9" w:rsidRPr="006F7985" w:rsidRDefault="00FD20D9" w:rsidP="00FD20D9">
      <w:pPr>
        <w:pStyle w:val="Heading1"/>
        <w:jc w:val="center"/>
        <w:rPr>
          <w:b w:val="0"/>
          <w:bCs/>
        </w:rPr>
      </w:pPr>
      <w:r w:rsidRPr="006F7985">
        <w:rPr>
          <w:bCs/>
        </w:rPr>
        <w:t xml:space="preserve">CEN-CENELEC-ETSI Joint </w:t>
      </w:r>
      <w:r>
        <w:rPr>
          <w:bCs/>
        </w:rPr>
        <w:t>Technical Body eAccessibility</w:t>
      </w:r>
    </w:p>
    <w:p w14:paraId="41FD2B2C" w14:textId="77777777" w:rsidR="00FD20D9" w:rsidRPr="000C3A5B" w:rsidRDefault="00FD20D9" w:rsidP="00FD20D9">
      <w:pPr>
        <w:pStyle w:val="Default"/>
        <w:jc w:val="center"/>
        <w:rPr>
          <w:rFonts w:ascii="Calibri" w:hAnsi="Calibri"/>
          <w:b/>
          <w:bCs/>
          <w:sz w:val="22"/>
          <w:szCs w:val="22"/>
          <w:lang w:val="en-GB"/>
        </w:rPr>
      </w:pPr>
    </w:p>
    <w:p w14:paraId="286E1A91" w14:textId="77777777" w:rsidR="00FD20D9" w:rsidRPr="00D907F2" w:rsidRDefault="00FD20D9" w:rsidP="00FD20D9">
      <w:pPr>
        <w:pStyle w:val="Default"/>
        <w:jc w:val="center"/>
        <w:rPr>
          <w:rFonts w:ascii="Verdana" w:hAnsi="Verdana"/>
          <w:b/>
          <w:bCs/>
          <w:sz w:val="20"/>
          <w:szCs w:val="20"/>
          <w:lang w:val="en-GB"/>
        </w:rPr>
      </w:pPr>
    </w:p>
    <w:p w14:paraId="22FDEF84" w14:textId="77777777" w:rsidR="00FD20D9" w:rsidRPr="00D907F2" w:rsidRDefault="00FD20D9" w:rsidP="00FD20D9">
      <w:pPr>
        <w:pStyle w:val="Default"/>
        <w:numPr>
          <w:ilvl w:val="0"/>
          <w:numId w:val="9"/>
        </w:numPr>
        <w:rPr>
          <w:rFonts w:ascii="Verdana" w:hAnsi="Verdana"/>
          <w:b/>
          <w:bCs/>
          <w:sz w:val="20"/>
          <w:szCs w:val="20"/>
          <w:lang w:val="en-GB"/>
        </w:rPr>
      </w:pPr>
      <w:r w:rsidRPr="00D907F2">
        <w:rPr>
          <w:rFonts w:ascii="Verdana" w:hAnsi="Verdana"/>
          <w:b/>
          <w:bCs/>
          <w:sz w:val="20"/>
          <w:szCs w:val="20"/>
          <w:lang w:val="en-GB"/>
        </w:rPr>
        <w:t>Proposal, v</w:t>
      </w:r>
      <w:r>
        <w:rPr>
          <w:rFonts w:ascii="Verdana" w:hAnsi="Verdana"/>
          <w:b/>
          <w:bCs/>
          <w:sz w:val="20"/>
          <w:szCs w:val="20"/>
          <w:lang w:val="en-GB"/>
        </w:rPr>
        <w:t>1</w:t>
      </w:r>
      <w:r w:rsidRPr="00D907F2">
        <w:rPr>
          <w:rFonts w:ascii="Verdana" w:hAnsi="Verdana"/>
          <w:b/>
          <w:bCs/>
          <w:sz w:val="20"/>
          <w:szCs w:val="20"/>
          <w:lang w:val="en-GB"/>
        </w:rPr>
        <w:t>.</w:t>
      </w:r>
      <w:r>
        <w:rPr>
          <w:rFonts w:ascii="Verdana" w:hAnsi="Verdana"/>
          <w:b/>
          <w:bCs/>
          <w:sz w:val="20"/>
          <w:szCs w:val="20"/>
          <w:lang w:val="en-GB"/>
        </w:rPr>
        <w:t>2</w:t>
      </w:r>
      <w:r w:rsidRPr="00D907F2">
        <w:rPr>
          <w:rFonts w:ascii="Verdana" w:hAnsi="Verdana"/>
          <w:b/>
          <w:bCs/>
          <w:sz w:val="20"/>
          <w:szCs w:val="20"/>
          <w:lang w:val="en-GB"/>
        </w:rPr>
        <w:t>.</w:t>
      </w:r>
      <w:r>
        <w:rPr>
          <w:rFonts w:ascii="Verdana" w:hAnsi="Verdana"/>
          <w:b/>
          <w:bCs/>
          <w:sz w:val="20"/>
          <w:szCs w:val="20"/>
          <w:lang w:val="en-GB"/>
        </w:rPr>
        <w:t xml:space="preserve"> Version agreed at the 2022-06-22 JWG meeting. DOCUMENT N601</w:t>
      </w:r>
    </w:p>
    <w:p w14:paraId="02DA4F55" w14:textId="77777777" w:rsidR="00FD20D9" w:rsidRPr="00D907F2" w:rsidRDefault="00FD20D9" w:rsidP="00FD20D9">
      <w:pPr>
        <w:pStyle w:val="Default"/>
        <w:jc w:val="center"/>
        <w:rPr>
          <w:rFonts w:ascii="Verdana" w:hAnsi="Verdana"/>
          <w:b/>
          <w:bCs/>
          <w:sz w:val="20"/>
          <w:szCs w:val="20"/>
          <w:lang w:val="en-GB"/>
        </w:rPr>
      </w:pPr>
    </w:p>
    <w:p w14:paraId="0C222216" w14:textId="77777777" w:rsidR="00FD20D9" w:rsidRPr="00D907F2" w:rsidRDefault="00FD20D9" w:rsidP="00FD20D9">
      <w:pPr>
        <w:pStyle w:val="ListParagraph"/>
        <w:numPr>
          <w:ilvl w:val="0"/>
          <w:numId w:val="10"/>
        </w:numPr>
        <w:contextualSpacing/>
        <w:rPr>
          <w:rFonts w:ascii="Verdana" w:hAnsi="Verdana"/>
          <w:b/>
          <w:sz w:val="20"/>
          <w:szCs w:val="20"/>
        </w:rPr>
      </w:pPr>
      <w:r w:rsidRPr="00D907F2">
        <w:rPr>
          <w:rFonts w:ascii="Verdana" w:hAnsi="Verdana" w:cs="Arial"/>
          <w:b/>
          <w:sz w:val="20"/>
          <w:szCs w:val="20"/>
        </w:rPr>
        <w:t>Title</w:t>
      </w:r>
    </w:p>
    <w:p w14:paraId="14824DEF" w14:textId="77777777" w:rsidR="00FD20D9" w:rsidRPr="00D907F2" w:rsidRDefault="00FD20D9" w:rsidP="00FD20D9">
      <w:pPr>
        <w:pStyle w:val="Default"/>
        <w:rPr>
          <w:rFonts w:ascii="Verdana" w:hAnsi="Verdana"/>
          <w:bCs/>
          <w:sz w:val="20"/>
          <w:szCs w:val="20"/>
          <w:lang w:val="en-GB"/>
        </w:rPr>
      </w:pPr>
      <w:r w:rsidRPr="00D907F2">
        <w:rPr>
          <w:rFonts w:ascii="Verdana" w:hAnsi="Verdana"/>
          <w:bCs/>
          <w:sz w:val="20"/>
          <w:szCs w:val="20"/>
          <w:lang w:val="en-GB"/>
        </w:rPr>
        <w:t xml:space="preserve">CEN-CENELEC-ETSI Joint </w:t>
      </w:r>
      <w:r>
        <w:rPr>
          <w:rFonts w:ascii="Verdana" w:hAnsi="Verdana"/>
          <w:bCs/>
          <w:sz w:val="20"/>
          <w:szCs w:val="20"/>
          <w:lang w:val="en-GB"/>
        </w:rPr>
        <w:t>Technical Body</w:t>
      </w:r>
      <w:r w:rsidRPr="00D907F2">
        <w:rPr>
          <w:rFonts w:ascii="Verdana" w:hAnsi="Verdana"/>
          <w:bCs/>
          <w:sz w:val="20"/>
          <w:szCs w:val="20"/>
          <w:lang w:val="en-GB"/>
        </w:rPr>
        <w:t xml:space="preserve"> (J</w:t>
      </w:r>
      <w:r>
        <w:rPr>
          <w:rFonts w:ascii="Verdana" w:hAnsi="Verdana"/>
          <w:bCs/>
          <w:sz w:val="20"/>
          <w:szCs w:val="20"/>
          <w:lang w:val="en-GB"/>
        </w:rPr>
        <w:t>TB</w:t>
      </w:r>
      <w:r w:rsidRPr="00D907F2">
        <w:rPr>
          <w:rFonts w:ascii="Verdana" w:hAnsi="Verdana"/>
          <w:bCs/>
          <w:sz w:val="20"/>
          <w:szCs w:val="20"/>
          <w:lang w:val="en-GB"/>
        </w:rPr>
        <w:t xml:space="preserve">) </w:t>
      </w:r>
      <w:r>
        <w:rPr>
          <w:rFonts w:ascii="Verdana" w:hAnsi="Verdana"/>
          <w:bCs/>
          <w:sz w:val="20"/>
          <w:szCs w:val="20"/>
          <w:lang w:val="en-GB"/>
        </w:rPr>
        <w:t>eAccessibility</w:t>
      </w:r>
      <w:r w:rsidRPr="00D907F2">
        <w:rPr>
          <w:rFonts w:ascii="Verdana" w:hAnsi="Verdana"/>
          <w:bCs/>
          <w:sz w:val="20"/>
          <w:szCs w:val="20"/>
          <w:lang w:val="en-GB"/>
        </w:rPr>
        <w:t xml:space="preserve">. </w:t>
      </w:r>
    </w:p>
    <w:p w14:paraId="65F48D2C" w14:textId="77777777" w:rsidR="00FD20D9" w:rsidRPr="00D907F2" w:rsidRDefault="00FD20D9" w:rsidP="00FD20D9">
      <w:pPr>
        <w:pStyle w:val="Default"/>
        <w:rPr>
          <w:rFonts w:ascii="Verdana" w:hAnsi="Verdana"/>
          <w:strike/>
          <w:sz w:val="20"/>
          <w:szCs w:val="20"/>
          <w:lang w:val="en-GB"/>
        </w:rPr>
      </w:pPr>
    </w:p>
    <w:p w14:paraId="71D8CD40" w14:textId="77777777" w:rsidR="00FD20D9" w:rsidRPr="006C289A" w:rsidRDefault="00FD20D9" w:rsidP="00FD20D9">
      <w:pPr>
        <w:pStyle w:val="Default"/>
        <w:rPr>
          <w:rFonts w:ascii="Verdana" w:hAnsi="Verdana"/>
          <w:sz w:val="20"/>
          <w:szCs w:val="20"/>
          <w:lang w:val="en-GB"/>
        </w:rPr>
      </w:pPr>
    </w:p>
    <w:p w14:paraId="254706F0" w14:textId="77777777" w:rsidR="00FD20D9" w:rsidRPr="00D907F2" w:rsidRDefault="00FD20D9" w:rsidP="00FD20D9">
      <w:pPr>
        <w:pStyle w:val="ListParagraph"/>
        <w:numPr>
          <w:ilvl w:val="0"/>
          <w:numId w:val="10"/>
        </w:numPr>
        <w:contextualSpacing/>
        <w:rPr>
          <w:rFonts w:ascii="Verdana" w:hAnsi="Verdana" w:cs="Arial"/>
          <w:b/>
          <w:sz w:val="20"/>
          <w:szCs w:val="20"/>
        </w:rPr>
      </w:pPr>
      <w:r w:rsidRPr="00D907F2">
        <w:rPr>
          <w:rFonts w:ascii="Verdana" w:hAnsi="Verdana" w:cs="Arial"/>
          <w:b/>
          <w:sz w:val="20"/>
          <w:szCs w:val="20"/>
        </w:rPr>
        <w:t>Scope</w:t>
      </w:r>
    </w:p>
    <w:p w14:paraId="30E1F43D" w14:textId="77777777" w:rsidR="00FD20D9" w:rsidRPr="00D907F2" w:rsidRDefault="00FD20D9" w:rsidP="00FD20D9">
      <w:pPr>
        <w:rPr>
          <w:rFonts w:ascii="Verdana" w:hAnsi="Verdana" w:cs="Arial"/>
          <w:bCs/>
          <w:color w:val="000000"/>
        </w:rPr>
      </w:pPr>
      <w:r w:rsidRPr="00D907F2">
        <w:rPr>
          <w:rFonts w:ascii="Verdana" w:hAnsi="Verdana" w:cs="Arial"/>
          <w:bCs/>
          <w:color w:val="000000"/>
        </w:rPr>
        <w:t xml:space="preserve">To develop standardisation documents </w:t>
      </w:r>
      <w:r w:rsidRPr="00757CE7">
        <w:rPr>
          <w:rFonts w:ascii="Verdana" w:hAnsi="Verdana" w:cs="Arial"/>
          <w:bCs/>
          <w:color w:val="000000"/>
        </w:rPr>
        <w:t xml:space="preserve">common to CEN, CENELEC and ETSI </w:t>
      </w:r>
      <w:r w:rsidRPr="00D907F2">
        <w:rPr>
          <w:rFonts w:ascii="Verdana" w:hAnsi="Verdana" w:cs="Arial"/>
          <w:bCs/>
          <w:color w:val="000000"/>
        </w:rPr>
        <w:t xml:space="preserve">in the field of the accessibility of </w:t>
      </w:r>
      <w:r>
        <w:rPr>
          <w:rFonts w:ascii="Verdana" w:hAnsi="Verdana" w:cs="Arial"/>
          <w:bCs/>
          <w:color w:val="000000"/>
        </w:rPr>
        <w:t xml:space="preserve">ICT </w:t>
      </w:r>
      <w:r w:rsidRPr="00D907F2">
        <w:rPr>
          <w:rFonts w:ascii="Verdana" w:hAnsi="Verdana" w:cs="Arial"/>
          <w:bCs/>
          <w:color w:val="000000"/>
        </w:rPr>
        <w:t xml:space="preserve">products and services. </w:t>
      </w:r>
    </w:p>
    <w:p w14:paraId="676393D6" w14:textId="77777777" w:rsidR="00FD20D9" w:rsidRPr="00D907F2" w:rsidRDefault="00FD20D9" w:rsidP="00FD20D9">
      <w:pPr>
        <w:rPr>
          <w:rFonts w:ascii="Verdana" w:hAnsi="Verdana" w:cs="Arial"/>
          <w:bCs/>
          <w:color w:val="000000"/>
        </w:rPr>
      </w:pPr>
    </w:p>
    <w:p w14:paraId="722B641D" w14:textId="77777777" w:rsidR="00FD20D9" w:rsidRPr="00D907F2" w:rsidRDefault="00FD20D9" w:rsidP="00FD20D9">
      <w:pPr>
        <w:rPr>
          <w:rFonts w:ascii="Verdana" w:hAnsi="Verdana" w:cs="Arial"/>
          <w:b/>
          <w:bCs/>
          <w:color w:val="000000"/>
        </w:rPr>
      </w:pPr>
    </w:p>
    <w:p w14:paraId="05AC918B" w14:textId="77777777" w:rsidR="00FD20D9" w:rsidRPr="00D907F2" w:rsidRDefault="00FD20D9" w:rsidP="00FD20D9">
      <w:pPr>
        <w:pStyle w:val="ListParagraph"/>
        <w:numPr>
          <w:ilvl w:val="0"/>
          <w:numId w:val="10"/>
        </w:numPr>
        <w:contextualSpacing/>
        <w:rPr>
          <w:rFonts w:ascii="Verdana" w:hAnsi="Verdana" w:cs="Arial"/>
          <w:b/>
          <w:sz w:val="20"/>
          <w:szCs w:val="20"/>
        </w:rPr>
      </w:pPr>
      <w:r w:rsidRPr="00D907F2">
        <w:rPr>
          <w:rFonts w:ascii="Verdana" w:hAnsi="Verdana" w:cs="Arial"/>
          <w:b/>
          <w:sz w:val="20"/>
          <w:szCs w:val="20"/>
        </w:rPr>
        <w:t xml:space="preserve">Status </w:t>
      </w:r>
    </w:p>
    <w:p w14:paraId="48582F47" w14:textId="77777777" w:rsidR="00FD20D9" w:rsidRPr="00D907F2" w:rsidRDefault="00FD20D9" w:rsidP="00FD20D9">
      <w:pPr>
        <w:rPr>
          <w:rFonts w:ascii="Verdana" w:hAnsi="Verdana" w:cs="Arial"/>
          <w:b/>
          <w:bCs/>
          <w:color w:val="000000"/>
        </w:rPr>
      </w:pPr>
    </w:p>
    <w:p w14:paraId="7A1A8FF4" w14:textId="77777777" w:rsidR="00FD20D9" w:rsidRPr="00D907F2" w:rsidRDefault="00FD20D9" w:rsidP="00FD20D9">
      <w:pPr>
        <w:pStyle w:val="Default"/>
        <w:rPr>
          <w:rFonts w:ascii="Verdana" w:hAnsi="Verdana"/>
          <w:bCs/>
          <w:sz w:val="20"/>
          <w:szCs w:val="20"/>
          <w:lang w:val="en-GB"/>
        </w:rPr>
      </w:pPr>
      <w:r w:rsidRPr="00D907F2">
        <w:rPr>
          <w:rFonts w:ascii="Verdana" w:hAnsi="Verdana"/>
          <w:bCs/>
          <w:sz w:val="20"/>
          <w:szCs w:val="20"/>
          <w:lang w:val="en-GB"/>
        </w:rPr>
        <w:t xml:space="preserve">The </w:t>
      </w:r>
      <w:r w:rsidRPr="00B40BF7">
        <w:rPr>
          <w:rFonts w:ascii="Verdana" w:hAnsi="Verdana"/>
          <w:bCs/>
          <w:sz w:val="20"/>
          <w:szCs w:val="20"/>
          <w:lang w:val="en-GB"/>
        </w:rPr>
        <w:t xml:space="preserve">CEN-CENELEC-ETSI Joint Technical Body (JTB) eAccessibility </w:t>
      </w:r>
      <w:r w:rsidRPr="00D907F2">
        <w:rPr>
          <w:rFonts w:ascii="Verdana" w:hAnsi="Verdana"/>
          <w:bCs/>
          <w:sz w:val="20"/>
          <w:szCs w:val="20"/>
          <w:lang w:val="en-GB"/>
        </w:rPr>
        <w:t xml:space="preserve">is a Joint Technical Body (JTB) according to the provisions of the </w:t>
      </w:r>
      <w:r w:rsidRPr="00F364A1">
        <w:rPr>
          <w:rFonts w:ascii="Verdana" w:hAnsi="Verdana"/>
          <w:bCs/>
          <w:sz w:val="20"/>
          <w:szCs w:val="20"/>
          <w:lang w:val="en-GB"/>
        </w:rPr>
        <w:t>CEN-CENELEC-ETSI Basic Co-operation Agreement, Annex 2, Mode 5.</w:t>
      </w:r>
      <w:r>
        <w:rPr>
          <w:rFonts w:ascii="Verdana" w:hAnsi="Verdana"/>
          <w:bCs/>
          <w:sz w:val="20"/>
          <w:szCs w:val="20"/>
          <w:lang w:val="en-GB"/>
        </w:rPr>
        <w:t xml:space="preserve"> </w:t>
      </w:r>
    </w:p>
    <w:p w14:paraId="681189AF" w14:textId="77777777" w:rsidR="00FD20D9" w:rsidRDefault="00FD20D9" w:rsidP="00FD20D9">
      <w:pPr>
        <w:rPr>
          <w:rFonts w:ascii="Verdana" w:hAnsi="Verdana"/>
        </w:rPr>
      </w:pPr>
    </w:p>
    <w:p w14:paraId="03DBFD22" w14:textId="77777777" w:rsidR="00FD20D9" w:rsidRDefault="00FD20D9" w:rsidP="00FD20D9">
      <w:pPr>
        <w:rPr>
          <w:rFonts w:ascii="Verdana" w:hAnsi="Verdana"/>
        </w:rPr>
      </w:pPr>
      <w:r w:rsidRPr="00D907F2">
        <w:rPr>
          <w:rFonts w:ascii="Verdana" w:hAnsi="Verdana"/>
        </w:rPr>
        <w:t>NOTE</w:t>
      </w:r>
      <w:r>
        <w:rPr>
          <w:rFonts w:ascii="Verdana" w:hAnsi="Verdana"/>
        </w:rPr>
        <w:t xml:space="preserve"> 1</w:t>
      </w:r>
      <w:r w:rsidRPr="00D907F2">
        <w:rPr>
          <w:rFonts w:ascii="Verdana" w:hAnsi="Verdana"/>
        </w:rPr>
        <w:tab/>
        <w:t>The 2022 version of Mode 5 approved by the CEN-CLC-ETSI</w:t>
      </w:r>
      <w:r>
        <w:rPr>
          <w:rFonts w:ascii="Verdana" w:hAnsi="Verdana"/>
        </w:rPr>
        <w:t xml:space="preserve"> Joint Presidential Group </w:t>
      </w:r>
      <w:r w:rsidRPr="00D907F2">
        <w:rPr>
          <w:rFonts w:ascii="Verdana" w:hAnsi="Verdana"/>
        </w:rPr>
        <w:t>is given in Annex A of this document.</w:t>
      </w:r>
    </w:p>
    <w:p w14:paraId="298AACD0" w14:textId="77777777" w:rsidR="00FD20D9" w:rsidRDefault="00FD20D9" w:rsidP="00FD20D9">
      <w:pPr>
        <w:rPr>
          <w:rFonts w:ascii="Verdana" w:hAnsi="Verdana"/>
        </w:rPr>
      </w:pPr>
      <w:r>
        <w:rPr>
          <w:rFonts w:ascii="Verdana" w:hAnsi="Verdana"/>
        </w:rPr>
        <w:t>NOTE 2</w:t>
      </w:r>
      <w:r>
        <w:rPr>
          <w:rFonts w:ascii="Verdana" w:hAnsi="Verdana"/>
        </w:rPr>
        <w:tab/>
        <w:t>The secretariat will inform the Joint Technical Body (JTB) whenever the Co-operation Agreement between the ESOs is modified.</w:t>
      </w:r>
    </w:p>
    <w:p w14:paraId="48146886" w14:textId="77777777" w:rsidR="00FD20D9" w:rsidRPr="00D907F2" w:rsidRDefault="00FD20D9" w:rsidP="00FD20D9">
      <w:pPr>
        <w:rPr>
          <w:rFonts w:ascii="Verdana" w:hAnsi="Verdana"/>
        </w:rPr>
      </w:pPr>
      <w:r w:rsidRPr="004A6C56">
        <w:rPr>
          <w:rFonts w:ascii="Verdana" w:hAnsi="Verdana"/>
          <w:highlight w:val="yellow"/>
        </w:rPr>
        <w:t xml:space="preserve">[editorial note: </w:t>
      </w:r>
      <w:r>
        <w:rPr>
          <w:rFonts w:ascii="Verdana" w:hAnsi="Verdana"/>
          <w:highlight w:val="yellow"/>
        </w:rPr>
        <w:t>A</w:t>
      </w:r>
      <w:r w:rsidRPr="004A6C56">
        <w:rPr>
          <w:rFonts w:ascii="Verdana" w:hAnsi="Verdana"/>
          <w:highlight w:val="yellow"/>
        </w:rPr>
        <w:t>nnex A to be updated after the JPG decision – to be done after 2022-06-29]</w:t>
      </w:r>
    </w:p>
    <w:p w14:paraId="51FAC906" w14:textId="77777777" w:rsidR="00FD20D9" w:rsidRPr="00D907F2" w:rsidRDefault="00FD20D9" w:rsidP="00FD20D9">
      <w:pPr>
        <w:rPr>
          <w:rFonts w:ascii="Verdana" w:hAnsi="Verdana"/>
        </w:rPr>
      </w:pPr>
    </w:p>
    <w:p w14:paraId="1CFEDE0C" w14:textId="77777777" w:rsidR="00FD20D9" w:rsidRPr="00D907F2" w:rsidRDefault="00FD20D9" w:rsidP="00FD20D9">
      <w:pPr>
        <w:pStyle w:val="ListParagraph"/>
        <w:numPr>
          <w:ilvl w:val="0"/>
          <w:numId w:val="10"/>
        </w:numPr>
        <w:contextualSpacing/>
        <w:rPr>
          <w:rFonts w:ascii="Verdana" w:hAnsi="Verdana"/>
          <w:b/>
          <w:bCs/>
          <w:sz w:val="20"/>
          <w:szCs w:val="20"/>
        </w:rPr>
      </w:pPr>
      <w:r w:rsidRPr="00D907F2">
        <w:rPr>
          <w:rFonts w:ascii="Verdana" w:hAnsi="Verdana"/>
          <w:b/>
          <w:bCs/>
          <w:sz w:val="20"/>
          <w:szCs w:val="20"/>
        </w:rPr>
        <w:t>Rules for standards works</w:t>
      </w:r>
    </w:p>
    <w:p w14:paraId="7899374A" w14:textId="77777777" w:rsidR="00FD20D9" w:rsidRPr="00D907F2" w:rsidRDefault="00FD20D9" w:rsidP="00FD20D9">
      <w:pPr>
        <w:rPr>
          <w:rFonts w:ascii="Verdana" w:hAnsi="Verdana"/>
        </w:rPr>
      </w:pPr>
      <w:r w:rsidRPr="00D907F2">
        <w:rPr>
          <w:rFonts w:ascii="Verdana" w:hAnsi="Verdana"/>
        </w:rPr>
        <w:t xml:space="preserve">The works of the </w:t>
      </w:r>
      <w:r w:rsidRPr="00B40BF7">
        <w:rPr>
          <w:rFonts w:ascii="Verdana" w:hAnsi="Verdana"/>
        </w:rPr>
        <w:t>CEN-CENELEC-ETSI Joint Technical Body (JTB) eAccessibility</w:t>
      </w:r>
      <w:r w:rsidRPr="00D907F2">
        <w:rPr>
          <w:rFonts w:ascii="Verdana" w:hAnsi="Verdana"/>
        </w:rPr>
        <w:t xml:space="preserve"> are under the Mode 5 of collaboration referenced in clause 3 of this document, with the specificities described in points 5 and 6 below.</w:t>
      </w:r>
    </w:p>
    <w:p w14:paraId="28EB1648" w14:textId="77777777" w:rsidR="00FD20D9" w:rsidRPr="00D907F2" w:rsidRDefault="00FD20D9" w:rsidP="00FD20D9">
      <w:pPr>
        <w:rPr>
          <w:rFonts w:ascii="Verdana" w:hAnsi="Verdana"/>
        </w:rPr>
      </w:pPr>
    </w:p>
    <w:p w14:paraId="5DC2A07F" w14:textId="77777777" w:rsidR="00FD20D9" w:rsidRPr="00D907F2" w:rsidRDefault="00FD20D9" w:rsidP="00FD20D9">
      <w:pPr>
        <w:pStyle w:val="ListParagraph"/>
        <w:numPr>
          <w:ilvl w:val="0"/>
          <w:numId w:val="10"/>
        </w:numPr>
        <w:contextualSpacing/>
        <w:rPr>
          <w:rFonts w:ascii="Verdana" w:hAnsi="Verdana"/>
          <w:b/>
          <w:bCs/>
          <w:sz w:val="20"/>
          <w:szCs w:val="20"/>
        </w:rPr>
      </w:pPr>
      <w:r w:rsidRPr="00D907F2">
        <w:rPr>
          <w:rFonts w:ascii="Verdana" w:hAnsi="Verdana"/>
          <w:b/>
          <w:bCs/>
          <w:sz w:val="20"/>
          <w:szCs w:val="20"/>
        </w:rPr>
        <w:t>Chair and Vice-Chair election process</w:t>
      </w:r>
    </w:p>
    <w:p w14:paraId="0E9407E6" w14:textId="77777777" w:rsidR="00FD20D9" w:rsidRPr="00585049" w:rsidRDefault="00FD20D9" w:rsidP="00FD20D9">
      <w:pPr>
        <w:rPr>
          <w:rFonts w:ascii="Verdana" w:hAnsi="Verdana"/>
          <w:highlight w:val="yellow"/>
        </w:rPr>
      </w:pPr>
      <w:r w:rsidRPr="00D907F2">
        <w:rPr>
          <w:rFonts w:ascii="Verdana" w:hAnsi="Verdana"/>
        </w:rPr>
        <w:t>The Mode 5 of collaboration referenced in clause 3 of this document states the following: “The appointment of the JTB Chair shall be organised by the JTB secretariat according to the rules and procedures of the ESO it is affiliated with, except for the provision that exist in the present document and that take precedence</w:t>
      </w:r>
      <w:r w:rsidRPr="00564523">
        <w:rPr>
          <w:rFonts w:ascii="Verdana" w:hAnsi="Verdana"/>
        </w:rPr>
        <w:t>.</w:t>
      </w:r>
      <w:r w:rsidRPr="00564523">
        <w:t xml:space="preserve"> </w:t>
      </w:r>
      <w:r w:rsidRPr="00564523">
        <w:rPr>
          <w:rFonts w:ascii="Verdana" w:hAnsi="Verdana"/>
        </w:rPr>
        <w:t>The appointment of the JTB Chair shall be endorsed by the JTB and the J</w:t>
      </w:r>
      <w:r w:rsidRPr="00585049">
        <w:rPr>
          <w:rFonts w:ascii="Verdana" w:hAnsi="Verdana"/>
        </w:rPr>
        <w:t>PG following the principle described in Article 1 (</w:t>
      </w:r>
      <w:proofErr w:type="gramStart"/>
      <w:r w:rsidRPr="00585049">
        <w:rPr>
          <w:rFonts w:ascii="Verdana" w:hAnsi="Verdana"/>
        </w:rPr>
        <w:t>i.e.</w:t>
      </w:r>
      <w:proofErr w:type="gramEnd"/>
      <w:r w:rsidRPr="00585049">
        <w:rPr>
          <w:rFonts w:ascii="Verdana" w:hAnsi="Verdana"/>
        </w:rPr>
        <w:t xml:space="preserve"> on the basis of a consensus established between the positions of the Technical Boards of the European Standardisation Organisations (ESOs) involved).”</w:t>
      </w:r>
    </w:p>
    <w:p w14:paraId="5FFFBB46" w14:textId="77777777" w:rsidR="00FD20D9" w:rsidRPr="00D907F2" w:rsidRDefault="00FD20D9" w:rsidP="00FD20D9">
      <w:pPr>
        <w:rPr>
          <w:rFonts w:ascii="Verdana" w:eastAsia="Verdana" w:hAnsi="Verdana"/>
          <w:b/>
          <w:bCs/>
          <w:noProof/>
        </w:rPr>
      </w:pPr>
      <w:r w:rsidRPr="00D907F2">
        <w:rPr>
          <w:rFonts w:ascii="Verdana" w:hAnsi="Verdana"/>
        </w:rPr>
        <w:lastRenderedPageBreak/>
        <w:t xml:space="preserve">According to DECISION 4/2021 taken by CEN-CENELEC-ETSI JWG eAccessibility on 2021-09-23, the process to </w:t>
      </w:r>
      <w:r w:rsidRPr="00D907F2">
        <w:rPr>
          <w:rFonts w:ascii="Verdana" w:eastAsia="Verdana" w:hAnsi="Verdana"/>
          <w:noProof/>
        </w:rPr>
        <w:t xml:space="preserve">elect Chair and Vice-chair(s) of the </w:t>
      </w:r>
      <w:r>
        <w:rPr>
          <w:rFonts w:ascii="Verdana" w:eastAsia="Verdana" w:hAnsi="Verdana"/>
          <w:noProof/>
        </w:rPr>
        <w:t>JTB</w:t>
      </w:r>
      <w:r w:rsidRPr="00D907F2">
        <w:rPr>
          <w:rFonts w:ascii="Verdana" w:eastAsia="Verdana" w:hAnsi="Verdana"/>
          <w:noProof/>
        </w:rPr>
        <w:t xml:space="preserve"> eAccessibility is the following:</w:t>
      </w:r>
    </w:p>
    <w:p w14:paraId="70C05986" w14:textId="77777777" w:rsidR="00FD20D9" w:rsidRPr="00D907F2" w:rsidRDefault="00FD20D9" w:rsidP="00FD20D9">
      <w:pPr>
        <w:pStyle w:val="ListParagraph"/>
        <w:numPr>
          <w:ilvl w:val="0"/>
          <w:numId w:val="11"/>
        </w:numPr>
        <w:spacing w:after="0" w:line="240" w:lineRule="auto"/>
        <w:ind w:left="1440"/>
        <w:rPr>
          <w:rFonts w:ascii="Verdana" w:eastAsia="Times New Roman" w:hAnsi="Verdana"/>
          <w:sz w:val="20"/>
          <w:szCs w:val="20"/>
        </w:rPr>
      </w:pPr>
      <w:r w:rsidRPr="00D907F2">
        <w:rPr>
          <w:rFonts w:ascii="Verdana" w:eastAsia="Times New Roman" w:hAnsi="Verdana"/>
          <w:sz w:val="20"/>
          <w:szCs w:val="20"/>
        </w:rPr>
        <w:t xml:space="preserve">The secretariat opens the call for candidates within the </w:t>
      </w:r>
      <w:r>
        <w:rPr>
          <w:rFonts w:ascii="Verdana" w:eastAsia="Times New Roman" w:hAnsi="Verdana"/>
          <w:sz w:val="20"/>
          <w:szCs w:val="20"/>
        </w:rPr>
        <w:t>JTB</w:t>
      </w:r>
      <w:r w:rsidRPr="00D907F2">
        <w:rPr>
          <w:rFonts w:ascii="Verdana" w:eastAsia="Times New Roman" w:hAnsi="Verdana"/>
          <w:sz w:val="20"/>
          <w:szCs w:val="20"/>
        </w:rPr>
        <w:t xml:space="preserve"> (3 weeks).</w:t>
      </w:r>
    </w:p>
    <w:p w14:paraId="1E375581" w14:textId="77777777" w:rsidR="00FD20D9" w:rsidRPr="00D907F2" w:rsidRDefault="00FD20D9" w:rsidP="00FD20D9">
      <w:pPr>
        <w:pStyle w:val="ListParagraph"/>
        <w:numPr>
          <w:ilvl w:val="0"/>
          <w:numId w:val="11"/>
        </w:numPr>
        <w:spacing w:after="0" w:line="240" w:lineRule="auto"/>
        <w:ind w:left="1440"/>
        <w:rPr>
          <w:rFonts w:ascii="Verdana" w:eastAsia="Times New Roman" w:hAnsi="Verdana"/>
          <w:sz w:val="20"/>
          <w:szCs w:val="20"/>
        </w:rPr>
      </w:pPr>
      <w:r w:rsidRPr="00D907F2">
        <w:rPr>
          <w:rFonts w:ascii="Verdana" w:eastAsia="Times New Roman" w:hAnsi="Verdana"/>
          <w:sz w:val="20"/>
          <w:szCs w:val="20"/>
        </w:rPr>
        <w:t>The secretariat makes all nominations known to the J</w:t>
      </w:r>
      <w:r>
        <w:rPr>
          <w:rFonts w:ascii="Verdana" w:eastAsia="Times New Roman" w:hAnsi="Verdana"/>
          <w:sz w:val="20"/>
          <w:szCs w:val="20"/>
        </w:rPr>
        <w:t>TB</w:t>
      </w:r>
      <w:r w:rsidRPr="00D907F2">
        <w:rPr>
          <w:rFonts w:ascii="Verdana" w:eastAsia="Times New Roman" w:hAnsi="Verdana"/>
          <w:sz w:val="20"/>
          <w:szCs w:val="20"/>
        </w:rPr>
        <w:t xml:space="preserve"> participants (members + observers).</w:t>
      </w:r>
    </w:p>
    <w:p w14:paraId="4BD7F806" w14:textId="77777777" w:rsidR="00FD20D9" w:rsidRPr="00D907F2" w:rsidRDefault="00FD20D9" w:rsidP="00FD20D9">
      <w:pPr>
        <w:pStyle w:val="ListParagraph"/>
        <w:numPr>
          <w:ilvl w:val="0"/>
          <w:numId w:val="11"/>
        </w:numPr>
        <w:spacing w:after="0" w:line="240" w:lineRule="auto"/>
        <w:ind w:left="1440"/>
        <w:rPr>
          <w:rFonts w:ascii="Verdana" w:eastAsia="Times New Roman" w:hAnsi="Verdana"/>
          <w:sz w:val="20"/>
          <w:szCs w:val="20"/>
        </w:rPr>
      </w:pPr>
      <w:r w:rsidRPr="00D907F2">
        <w:rPr>
          <w:rFonts w:ascii="Verdana" w:eastAsia="Times New Roman" w:hAnsi="Verdana"/>
          <w:sz w:val="20"/>
          <w:szCs w:val="20"/>
        </w:rPr>
        <w:t xml:space="preserve">The secretariat considers all proposals and tries to reach consensus on a candidate, for nomination by the </w:t>
      </w:r>
      <w:r>
        <w:rPr>
          <w:rFonts w:ascii="Verdana" w:eastAsia="Times New Roman" w:hAnsi="Verdana"/>
          <w:sz w:val="20"/>
          <w:szCs w:val="20"/>
        </w:rPr>
        <w:t>JTB</w:t>
      </w:r>
      <w:r w:rsidRPr="00D907F2">
        <w:rPr>
          <w:rFonts w:ascii="Verdana" w:eastAsia="Times New Roman" w:hAnsi="Verdana"/>
          <w:sz w:val="20"/>
          <w:szCs w:val="20"/>
        </w:rPr>
        <w:t>’s members, approval of the CEN and CENELEC Technical Boards and ETSI Board, and final endorsement by the Joint Presidential Group (JPG).</w:t>
      </w:r>
    </w:p>
    <w:p w14:paraId="3752E6EE" w14:textId="77777777" w:rsidR="00FD20D9" w:rsidRPr="00D907F2" w:rsidRDefault="00FD20D9" w:rsidP="00FD20D9">
      <w:pPr>
        <w:pStyle w:val="ListParagraph"/>
        <w:numPr>
          <w:ilvl w:val="0"/>
          <w:numId w:val="11"/>
        </w:numPr>
        <w:spacing w:after="0" w:line="240" w:lineRule="auto"/>
        <w:ind w:left="1440"/>
        <w:rPr>
          <w:rFonts w:ascii="Verdana" w:eastAsia="Times New Roman" w:hAnsi="Verdana"/>
          <w:sz w:val="20"/>
          <w:szCs w:val="20"/>
        </w:rPr>
      </w:pPr>
      <w:r w:rsidRPr="00D907F2">
        <w:rPr>
          <w:rFonts w:ascii="Verdana" w:eastAsia="Times New Roman" w:hAnsi="Verdana"/>
          <w:sz w:val="20"/>
          <w:szCs w:val="20"/>
        </w:rPr>
        <w:t>Once the Chair has been appointed, the same process applies for Vice-Chair</w:t>
      </w:r>
      <w:r>
        <w:rPr>
          <w:rFonts w:ascii="Verdana" w:eastAsia="Times New Roman" w:hAnsi="Verdana"/>
          <w:sz w:val="20"/>
          <w:szCs w:val="20"/>
        </w:rPr>
        <w:t>(s)</w:t>
      </w:r>
      <w:r w:rsidRPr="00D907F2">
        <w:rPr>
          <w:rFonts w:ascii="Verdana" w:eastAsia="Times New Roman" w:hAnsi="Verdana"/>
          <w:sz w:val="20"/>
          <w:szCs w:val="20"/>
        </w:rPr>
        <w:t>.</w:t>
      </w:r>
    </w:p>
    <w:p w14:paraId="02720FC2" w14:textId="77777777" w:rsidR="00FD20D9" w:rsidRPr="00D907F2" w:rsidRDefault="00FD20D9" w:rsidP="00FD20D9">
      <w:pPr>
        <w:rPr>
          <w:rFonts w:ascii="Verdana" w:hAnsi="Verdana"/>
        </w:rPr>
      </w:pPr>
    </w:p>
    <w:p w14:paraId="6CD32A0A" w14:textId="77777777" w:rsidR="00FD20D9" w:rsidRPr="00D907F2" w:rsidRDefault="00FD20D9" w:rsidP="00FD20D9">
      <w:pPr>
        <w:rPr>
          <w:rFonts w:ascii="Verdana" w:hAnsi="Verdana"/>
        </w:rPr>
      </w:pPr>
      <w:r w:rsidRPr="00D907F2">
        <w:rPr>
          <w:rFonts w:ascii="Verdana" w:hAnsi="Verdana"/>
        </w:rPr>
        <w:t>This procedure is compatible with the one described in Mode 5 of collaboration.</w:t>
      </w:r>
    </w:p>
    <w:p w14:paraId="7C00B40C" w14:textId="77777777" w:rsidR="00FD20D9" w:rsidRPr="00D907F2" w:rsidRDefault="00FD20D9" w:rsidP="00FD20D9">
      <w:pPr>
        <w:rPr>
          <w:rFonts w:ascii="Verdana" w:hAnsi="Verdana"/>
        </w:rPr>
      </w:pPr>
    </w:p>
    <w:p w14:paraId="42082F37" w14:textId="77777777" w:rsidR="00FD20D9" w:rsidRPr="00D907F2" w:rsidRDefault="00FD20D9" w:rsidP="00FD20D9">
      <w:pPr>
        <w:rPr>
          <w:rFonts w:ascii="Verdana" w:hAnsi="Verdana"/>
        </w:rPr>
      </w:pPr>
    </w:p>
    <w:p w14:paraId="4F081863" w14:textId="77777777" w:rsidR="00FD20D9" w:rsidRPr="00D907F2" w:rsidRDefault="00FD20D9" w:rsidP="00FD20D9">
      <w:pPr>
        <w:rPr>
          <w:rFonts w:ascii="Verdana" w:hAnsi="Verdana"/>
        </w:rPr>
      </w:pPr>
    </w:p>
    <w:p w14:paraId="049C6BC7" w14:textId="77777777" w:rsidR="00FD20D9" w:rsidRPr="00D907F2" w:rsidRDefault="00FD20D9" w:rsidP="00FD20D9">
      <w:pPr>
        <w:pStyle w:val="ListParagraph"/>
        <w:numPr>
          <w:ilvl w:val="0"/>
          <w:numId w:val="10"/>
        </w:numPr>
        <w:spacing w:after="0" w:line="240" w:lineRule="auto"/>
        <w:contextualSpacing/>
        <w:rPr>
          <w:rFonts w:ascii="Verdana" w:eastAsia="Times New Roman" w:hAnsi="Verdana"/>
          <w:b/>
          <w:bCs/>
          <w:sz w:val="20"/>
          <w:szCs w:val="20"/>
        </w:rPr>
      </w:pPr>
      <w:r w:rsidRPr="00D907F2">
        <w:rPr>
          <w:rFonts w:ascii="Verdana" w:eastAsia="Times New Roman" w:hAnsi="Verdana"/>
          <w:b/>
          <w:bCs/>
          <w:sz w:val="20"/>
          <w:szCs w:val="20"/>
        </w:rPr>
        <w:t>Accessibility of the standardisation process</w:t>
      </w:r>
    </w:p>
    <w:p w14:paraId="7FDF74A6" w14:textId="77777777" w:rsidR="00FD20D9" w:rsidRPr="00D907F2" w:rsidRDefault="00FD20D9" w:rsidP="00FD20D9">
      <w:pPr>
        <w:rPr>
          <w:rFonts w:ascii="Verdana" w:hAnsi="Verdana"/>
        </w:rPr>
      </w:pPr>
    </w:p>
    <w:p w14:paraId="3A8B0FD2" w14:textId="77777777" w:rsidR="00FD20D9" w:rsidRPr="00D907F2" w:rsidRDefault="00FD20D9" w:rsidP="00FD20D9">
      <w:pPr>
        <w:rPr>
          <w:rFonts w:ascii="Verdana" w:hAnsi="Verdana"/>
        </w:rPr>
      </w:pPr>
    </w:p>
    <w:p w14:paraId="03EACD86" w14:textId="24007321" w:rsidR="00FD20D9" w:rsidRPr="00753223" w:rsidRDefault="00FD20D9" w:rsidP="00FD20D9">
      <w:pPr>
        <w:rPr>
          <w:rFonts w:ascii="Verdana" w:hAnsi="Verdana"/>
        </w:rPr>
      </w:pPr>
      <w:r w:rsidRPr="00FE497C">
        <w:rPr>
          <w:rFonts w:ascii="Verdana" w:hAnsi="Verdana"/>
        </w:rPr>
        <w:t>The CEN-CENELEC-ETSI Joint Technical Body (JTB) eAccessibility</w:t>
      </w:r>
      <w:r>
        <w:rPr>
          <w:rFonts w:ascii="Verdana" w:hAnsi="Verdana"/>
        </w:rPr>
        <w:t xml:space="preserve"> is committed</w:t>
      </w:r>
      <w:r w:rsidRPr="00FE497C">
        <w:rPr>
          <w:rFonts w:ascii="Verdana" w:hAnsi="Verdana"/>
        </w:rPr>
        <w:t xml:space="preserve"> </w:t>
      </w:r>
      <w:r>
        <w:rPr>
          <w:rFonts w:ascii="Verdana" w:hAnsi="Verdana"/>
        </w:rPr>
        <w:t xml:space="preserve">to </w:t>
      </w:r>
      <w:r w:rsidRPr="00FE497C">
        <w:rPr>
          <w:rFonts w:ascii="Verdana" w:hAnsi="Verdana"/>
        </w:rPr>
        <w:t xml:space="preserve"> inclusion and a high level of accessibility in communication, proceedings, meetings, venues and documents, as well as reasonable accommodation to J</w:t>
      </w:r>
      <w:r>
        <w:rPr>
          <w:rFonts w:ascii="Verdana" w:hAnsi="Verdana"/>
        </w:rPr>
        <w:t>TB</w:t>
      </w:r>
      <w:r w:rsidRPr="00FE497C">
        <w:rPr>
          <w:rFonts w:ascii="Verdana" w:hAnsi="Verdana"/>
        </w:rPr>
        <w:t xml:space="preserve"> participants.</w:t>
      </w:r>
    </w:p>
    <w:p w14:paraId="406F5FCE" w14:textId="77777777" w:rsidR="00816E5A" w:rsidRDefault="00816E5A" w:rsidP="009D0BEF">
      <w:pPr>
        <w:spacing w:after="160" w:line="259" w:lineRule="auto"/>
        <w:rPr>
          <w:rFonts w:ascii="Verdana" w:hAnsi="Verdana"/>
        </w:rPr>
      </w:pPr>
    </w:p>
    <w:p w14:paraId="28A550C1" w14:textId="77777777" w:rsidR="00816E5A" w:rsidRDefault="00816E5A" w:rsidP="009D0BEF">
      <w:pPr>
        <w:spacing w:after="160" w:line="259" w:lineRule="auto"/>
        <w:rPr>
          <w:rFonts w:ascii="Verdana" w:hAnsi="Verdana"/>
        </w:rPr>
      </w:pPr>
    </w:p>
    <w:p w14:paraId="3034336C" w14:textId="39B14595" w:rsidR="00FD20D9" w:rsidRPr="00816E5A" w:rsidRDefault="00FD20D9" w:rsidP="00816E5A">
      <w:pPr>
        <w:pStyle w:val="ListParagraph"/>
        <w:spacing w:after="160" w:line="259" w:lineRule="auto"/>
        <w:ind w:left="720"/>
        <w:rPr>
          <w:rFonts w:ascii="Verdana" w:hAnsi="Verdana"/>
          <w:b/>
          <w:bCs/>
        </w:rPr>
      </w:pPr>
      <w:r w:rsidRPr="00816E5A">
        <w:rPr>
          <w:rFonts w:ascii="Verdana" w:hAnsi="Verdana"/>
          <w:b/>
          <w:bCs/>
        </w:rPr>
        <w:t>Annex A (to the ToR)</w:t>
      </w:r>
      <w:r w:rsidR="009D0BEF" w:rsidRPr="00816E5A">
        <w:rPr>
          <w:rFonts w:ascii="Verdana" w:hAnsi="Verdana"/>
          <w:b/>
          <w:bCs/>
        </w:rPr>
        <w:t xml:space="preserve"> - </w:t>
      </w:r>
      <w:r w:rsidRPr="00816E5A">
        <w:rPr>
          <w:rFonts w:ascii="Verdana" w:hAnsi="Verdana"/>
          <w:b/>
          <w:bCs/>
        </w:rPr>
        <w:t>Renewed Mode 5 collaboration</w:t>
      </w:r>
    </w:p>
    <w:p w14:paraId="6895C3A8" w14:textId="72755A59" w:rsidR="00272B85" w:rsidRPr="001F7802" w:rsidRDefault="00816E5A" w:rsidP="007B4313">
      <w:pPr>
        <w:tabs>
          <w:tab w:val="clear" w:pos="1418"/>
          <w:tab w:val="clear" w:pos="4678"/>
          <w:tab w:val="clear" w:pos="5954"/>
          <w:tab w:val="clear" w:pos="7088"/>
        </w:tabs>
        <w:overflowPunct/>
        <w:autoSpaceDE/>
        <w:autoSpaceDN/>
        <w:adjustRightInd/>
        <w:jc w:val="left"/>
        <w:textAlignment w:val="auto"/>
        <w:rPr>
          <w:i/>
        </w:rPr>
      </w:pPr>
      <w:r w:rsidRPr="00816E5A">
        <w:rPr>
          <w:i/>
          <w:highlight w:val="yellow"/>
        </w:rPr>
        <w:t>This Annex will include the new Mode 5 once approved by the JPG.</w:t>
      </w:r>
      <w:r>
        <w:rPr>
          <w:i/>
        </w:rPr>
        <w:t xml:space="preserve"> </w:t>
      </w:r>
    </w:p>
    <w:sectPr w:rsidR="00272B85" w:rsidRPr="001F7802" w:rsidSect="008451EB">
      <w:type w:val="continuous"/>
      <w:pgSz w:w="11907" w:h="16840" w:code="9"/>
      <w:pgMar w:top="1134"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9136" w14:textId="77777777" w:rsidR="00A50DAC" w:rsidRDefault="00A50DAC">
      <w:r>
        <w:separator/>
      </w:r>
    </w:p>
  </w:endnote>
  <w:endnote w:type="continuationSeparator" w:id="0">
    <w:p w14:paraId="61543761" w14:textId="77777777" w:rsidR="00A50DAC" w:rsidRDefault="00A5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832D" w14:textId="77777777" w:rsidR="00A91789" w:rsidRDefault="00A91789">
    <w:pPr>
      <w:pStyle w:val="Foote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C43C" w14:textId="77777777" w:rsidR="00A50DAC" w:rsidRDefault="00A50DAC">
      <w:r>
        <w:separator/>
      </w:r>
    </w:p>
  </w:footnote>
  <w:footnote w:type="continuationSeparator" w:id="0">
    <w:p w14:paraId="12338EA5" w14:textId="77777777" w:rsidR="00A50DAC" w:rsidRDefault="00A5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tblInd w:w="4763" w:type="dxa"/>
      <w:tblLook w:val="01E0" w:firstRow="1" w:lastRow="1" w:firstColumn="1" w:lastColumn="1" w:noHBand="0" w:noVBand="0"/>
    </w:tblPr>
    <w:tblGrid>
      <w:gridCol w:w="5039"/>
    </w:tblGrid>
    <w:tr w:rsidR="00A91789" w14:paraId="73783AD3" w14:textId="77777777">
      <w:tc>
        <w:tcPr>
          <w:tcW w:w="5039" w:type="dxa"/>
        </w:tcPr>
        <w:p w14:paraId="4F14FE9A" w14:textId="0B3511A1" w:rsidR="00A91789" w:rsidRDefault="00EC13C4" w:rsidP="009F56D6">
          <w:pPr>
            <w:pStyle w:val="Header"/>
            <w:jc w:val="right"/>
            <w:rPr>
              <w:b/>
              <w:i/>
              <w:sz w:val="32"/>
            </w:rPr>
          </w:pPr>
          <w:r>
            <w:rPr>
              <w:b/>
              <w:i/>
              <w:sz w:val="32"/>
              <w:szCs w:val="32"/>
            </w:rPr>
            <w:t>ETSI/BOARD(</w:t>
          </w:r>
          <w:r w:rsidR="00DE7E3B">
            <w:rPr>
              <w:b/>
              <w:i/>
              <w:sz w:val="32"/>
              <w:szCs w:val="32"/>
            </w:rPr>
            <w:t>2</w:t>
          </w:r>
          <w:r w:rsidR="00C33F5B">
            <w:rPr>
              <w:b/>
              <w:i/>
              <w:sz w:val="32"/>
              <w:szCs w:val="32"/>
            </w:rPr>
            <w:t>2</w:t>
          </w:r>
          <w:r>
            <w:rPr>
              <w:b/>
              <w:i/>
              <w:sz w:val="32"/>
              <w:szCs w:val="32"/>
            </w:rPr>
            <w:t>)</w:t>
          </w:r>
          <w:r w:rsidR="00DE02EC">
            <w:rPr>
              <w:b/>
              <w:i/>
              <w:sz w:val="32"/>
              <w:szCs w:val="32"/>
            </w:rPr>
            <w:t>1</w:t>
          </w:r>
          <w:r w:rsidR="003E3D2B">
            <w:rPr>
              <w:b/>
              <w:i/>
              <w:sz w:val="32"/>
              <w:szCs w:val="32"/>
            </w:rPr>
            <w:t>3</w:t>
          </w:r>
          <w:r w:rsidR="00456939">
            <w:rPr>
              <w:b/>
              <w:i/>
              <w:sz w:val="32"/>
              <w:szCs w:val="32"/>
            </w:rPr>
            <w:t>9</w:t>
          </w:r>
          <w:r w:rsidR="0055208D">
            <w:rPr>
              <w:b/>
              <w:i/>
              <w:sz w:val="32"/>
              <w:szCs w:val="32"/>
            </w:rPr>
            <w:t>_</w:t>
          </w:r>
          <w:r w:rsidR="000E4B7C">
            <w:rPr>
              <w:b/>
              <w:i/>
              <w:sz w:val="32"/>
              <w:szCs w:val="32"/>
            </w:rPr>
            <w:t>013</w:t>
          </w:r>
        </w:p>
      </w:tc>
    </w:tr>
    <w:tr w:rsidR="00A91789" w14:paraId="4B427C6A" w14:textId="77777777">
      <w:tc>
        <w:tcPr>
          <w:tcW w:w="5039" w:type="dxa"/>
        </w:tcPr>
        <w:p w14:paraId="6675AB88" w14:textId="77777777" w:rsidR="00A91789" w:rsidRDefault="00A91789">
          <w:pPr>
            <w:pStyle w:val="Header"/>
            <w:jc w:val="right"/>
          </w:pPr>
          <w:r>
            <w:rPr>
              <w:lang w:val="fr-FR"/>
            </w:rPr>
            <w:t xml:space="preserve">page </w:t>
          </w:r>
          <w:r>
            <w:rPr>
              <w:lang w:val="fr-FR"/>
            </w:rPr>
            <w:fldChar w:fldCharType="begin"/>
          </w:r>
          <w:r>
            <w:rPr>
              <w:lang w:val="fr-FR"/>
            </w:rPr>
            <w:instrText xml:space="preserve"> PAGE   \* MERGEFORMAT </w:instrText>
          </w:r>
          <w:r>
            <w:rPr>
              <w:lang w:val="fr-FR"/>
            </w:rPr>
            <w:fldChar w:fldCharType="separate"/>
          </w:r>
          <w:r w:rsidR="00D12417">
            <w:rPr>
              <w:noProof/>
              <w:lang w:val="fr-FR"/>
            </w:rPr>
            <w:t>2</w:t>
          </w:r>
          <w:r>
            <w:rPr>
              <w:lang w:val="fr-FR"/>
            </w:rPr>
            <w:fldChar w:fldCharType="end"/>
          </w:r>
          <w:r>
            <w:rPr>
              <w:lang w:val="fr-FR"/>
            </w:rPr>
            <w:t xml:space="preserve"> of </w:t>
          </w:r>
          <w:r>
            <w:rPr>
              <w:lang w:val="fr-FR"/>
            </w:rPr>
            <w:fldChar w:fldCharType="begin"/>
          </w:r>
          <w:r>
            <w:rPr>
              <w:lang w:val="fr-FR"/>
            </w:rPr>
            <w:instrText xml:space="preserve"> NUMPAGES   \* MERGEFORMAT </w:instrText>
          </w:r>
          <w:r>
            <w:rPr>
              <w:lang w:val="fr-FR"/>
            </w:rPr>
            <w:fldChar w:fldCharType="separate"/>
          </w:r>
          <w:r w:rsidR="00D12417">
            <w:rPr>
              <w:noProof/>
              <w:lang w:val="fr-FR"/>
            </w:rPr>
            <w:t>2</w:t>
          </w:r>
          <w:r>
            <w:rPr>
              <w:lang w:val="fr-FR"/>
            </w:rPr>
            <w:fldChar w:fldCharType="end"/>
          </w:r>
        </w:p>
      </w:tc>
    </w:tr>
  </w:tbl>
  <w:p w14:paraId="50ABB996" w14:textId="77777777" w:rsidR="00A91789" w:rsidRDefault="00A91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4821" w:tblpY="1"/>
      <w:tblOverlap w:val="never"/>
      <w:tblW w:w="5004" w:type="dxa"/>
      <w:tblLook w:val="01E0" w:firstRow="1" w:lastRow="1" w:firstColumn="1" w:lastColumn="1" w:noHBand="0" w:noVBand="0"/>
    </w:tblPr>
    <w:tblGrid>
      <w:gridCol w:w="5004"/>
    </w:tblGrid>
    <w:tr w:rsidR="00A91789" w14:paraId="61AEF564" w14:textId="77777777">
      <w:tc>
        <w:tcPr>
          <w:tcW w:w="5004" w:type="dxa"/>
        </w:tcPr>
        <w:p w14:paraId="5AD6134A" w14:textId="0209B737" w:rsidR="00A91789" w:rsidRDefault="00EC13C4" w:rsidP="009F56D6">
          <w:pPr>
            <w:pStyle w:val="Header"/>
            <w:jc w:val="right"/>
            <w:rPr>
              <w:b/>
              <w:i/>
              <w:sz w:val="32"/>
              <w:szCs w:val="32"/>
            </w:rPr>
          </w:pPr>
          <w:r>
            <w:rPr>
              <w:b/>
              <w:i/>
              <w:sz w:val="32"/>
              <w:szCs w:val="32"/>
            </w:rPr>
            <w:t>ETSI/BOARD(</w:t>
          </w:r>
          <w:r w:rsidR="00DE7E3B">
            <w:rPr>
              <w:b/>
              <w:i/>
              <w:sz w:val="32"/>
              <w:szCs w:val="32"/>
            </w:rPr>
            <w:t>2</w:t>
          </w:r>
          <w:r w:rsidR="00C33F5B">
            <w:rPr>
              <w:b/>
              <w:i/>
              <w:sz w:val="32"/>
              <w:szCs w:val="32"/>
            </w:rPr>
            <w:t>2</w:t>
          </w:r>
          <w:r>
            <w:rPr>
              <w:b/>
              <w:i/>
              <w:sz w:val="32"/>
              <w:szCs w:val="32"/>
            </w:rPr>
            <w:t>)</w:t>
          </w:r>
          <w:r w:rsidR="00DE02EC">
            <w:rPr>
              <w:b/>
              <w:i/>
              <w:sz w:val="32"/>
              <w:szCs w:val="32"/>
            </w:rPr>
            <w:t>1</w:t>
          </w:r>
          <w:r w:rsidR="003E3D2B">
            <w:rPr>
              <w:b/>
              <w:i/>
              <w:sz w:val="32"/>
              <w:szCs w:val="32"/>
            </w:rPr>
            <w:t>3</w:t>
          </w:r>
          <w:r w:rsidR="007639BD">
            <w:rPr>
              <w:b/>
              <w:i/>
              <w:sz w:val="32"/>
              <w:szCs w:val="32"/>
            </w:rPr>
            <w:t>9</w:t>
          </w:r>
          <w:r w:rsidR="0055208D">
            <w:rPr>
              <w:b/>
              <w:i/>
              <w:sz w:val="32"/>
              <w:szCs w:val="32"/>
            </w:rPr>
            <w:t>_</w:t>
          </w:r>
          <w:r w:rsidR="000E4B7C">
            <w:rPr>
              <w:b/>
              <w:i/>
              <w:sz w:val="32"/>
              <w:szCs w:val="32"/>
            </w:rPr>
            <w:t>013</w:t>
          </w:r>
        </w:p>
      </w:tc>
    </w:tr>
    <w:tr w:rsidR="00862827" w14:paraId="42524ED5" w14:textId="77777777">
      <w:tc>
        <w:tcPr>
          <w:tcW w:w="5004" w:type="dxa"/>
        </w:tcPr>
        <w:p w14:paraId="08B1600C" w14:textId="3FA7F60C" w:rsidR="009E32F8" w:rsidRPr="00F35ABA" w:rsidRDefault="004F6BE7" w:rsidP="00FF2222">
          <w:pPr>
            <w:pStyle w:val="Header"/>
            <w:jc w:val="right"/>
            <w:rPr>
              <w:bCs/>
            </w:rPr>
          </w:pPr>
          <w:r w:rsidRPr="00F35ABA">
            <w:rPr>
              <w:bCs/>
            </w:rPr>
            <w:t>Luis Jorgen Romero/</w:t>
          </w:r>
          <w:r w:rsidR="009D0EBE" w:rsidRPr="00F35ABA">
            <w:rPr>
              <w:bCs/>
            </w:rPr>
            <w:t>Laure Pourcin</w:t>
          </w:r>
        </w:p>
        <w:p w14:paraId="1008F2AB" w14:textId="07A63DE7" w:rsidR="00584E2A" w:rsidRDefault="00F35ABA" w:rsidP="00FF2222">
          <w:pPr>
            <w:pStyle w:val="Header"/>
            <w:jc w:val="right"/>
            <w:rPr>
              <w:szCs w:val="32"/>
            </w:rPr>
          </w:pPr>
          <w:r>
            <w:rPr>
              <w:szCs w:val="32"/>
            </w:rPr>
            <w:t>Presented by Laure Pourcin</w:t>
          </w:r>
        </w:p>
      </w:tc>
    </w:tr>
    <w:tr w:rsidR="00862827" w14:paraId="254B01DB" w14:textId="77777777">
      <w:tc>
        <w:tcPr>
          <w:tcW w:w="5004" w:type="dxa"/>
        </w:tcPr>
        <w:p w14:paraId="6AA70A82" w14:textId="30415FF9" w:rsidR="00862827" w:rsidRPr="00525BC1" w:rsidRDefault="00862827" w:rsidP="00525BC1">
          <w:pPr>
            <w:pStyle w:val="Header"/>
            <w:jc w:val="right"/>
            <w:rPr>
              <w:szCs w:val="32"/>
            </w:rPr>
          </w:pPr>
          <w:r>
            <w:t xml:space="preserve">Submission date: </w:t>
          </w:r>
          <w:r w:rsidR="004F6BE7">
            <w:t>1</w:t>
          </w:r>
          <w:r w:rsidR="00DF3EA4">
            <w:t>2</w:t>
          </w:r>
          <w:r w:rsidR="004F6BE7">
            <w:t xml:space="preserve"> </w:t>
          </w:r>
          <w:r w:rsidR="00525BC1">
            <w:t>August</w:t>
          </w:r>
          <w:r w:rsidRPr="006F3BF5">
            <w:rPr>
              <w:szCs w:val="32"/>
            </w:rPr>
            <w:t xml:space="preserve"> 20</w:t>
          </w:r>
          <w:r w:rsidR="00DE7E3B" w:rsidRPr="006F3BF5">
            <w:rPr>
              <w:szCs w:val="32"/>
            </w:rPr>
            <w:t>2</w:t>
          </w:r>
          <w:r w:rsidR="00C33F5B" w:rsidRPr="006F3BF5">
            <w:rPr>
              <w:szCs w:val="32"/>
            </w:rPr>
            <w:t>2</w:t>
          </w:r>
        </w:p>
      </w:tc>
    </w:tr>
    <w:tr w:rsidR="00A91789" w14:paraId="2862A67B" w14:textId="77777777">
      <w:tc>
        <w:tcPr>
          <w:tcW w:w="5004" w:type="dxa"/>
        </w:tcPr>
        <w:p w14:paraId="49930639" w14:textId="77777777" w:rsidR="00A91789" w:rsidRDefault="00A91789">
          <w:pPr>
            <w:pStyle w:val="Header"/>
            <w:jc w:val="right"/>
            <w:rPr>
              <w:b/>
              <w:i/>
              <w:sz w:val="32"/>
              <w:szCs w:val="32"/>
            </w:rPr>
          </w:pPr>
          <w:r>
            <w:t xml:space="preserve">page </w:t>
          </w:r>
          <w:r>
            <w:fldChar w:fldCharType="begin"/>
          </w:r>
          <w:r>
            <w:instrText xml:space="preserve"> PAGE   \* MERGEFORMAT </w:instrText>
          </w:r>
          <w:r>
            <w:fldChar w:fldCharType="separate"/>
          </w:r>
          <w:r w:rsidR="00D12417">
            <w:rPr>
              <w:noProof/>
            </w:rPr>
            <w:t>1</w:t>
          </w:r>
          <w:r>
            <w:fldChar w:fldCharType="end"/>
          </w:r>
          <w:r>
            <w:t xml:space="preserve"> of </w:t>
          </w:r>
          <w:fldSimple w:instr=" NUMPAGES   \* MERGEFORMAT ">
            <w:r w:rsidR="00D12417">
              <w:rPr>
                <w:noProof/>
              </w:rPr>
              <w:t>2</w:t>
            </w:r>
          </w:fldSimple>
        </w:p>
      </w:tc>
    </w:tr>
  </w:tbl>
  <w:p w14:paraId="6B997421" w14:textId="77777777" w:rsidR="00D94483" w:rsidRPr="00D94483" w:rsidRDefault="00D94483" w:rsidP="00D94483">
    <w:pPr>
      <w:rPr>
        <w:vanish/>
      </w:rPr>
    </w:pPr>
  </w:p>
  <w:tbl>
    <w:tblPr>
      <w:tblW w:w="0" w:type="auto"/>
      <w:tblInd w:w="-540" w:type="dxa"/>
      <w:tblLook w:val="01E0" w:firstRow="1" w:lastRow="1" w:firstColumn="1" w:lastColumn="1" w:noHBand="0" w:noVBand="0"/>
    </w:tblPr>
    <w:tblGrid>
      <w:gridCol w:w="4968"/>
    </w:tblGrid>
    <w:tr w:rsidR="009F56D6" w14:paraId="6946CE58" w14:textId="77777777" w:rsidTr="00487EFF">
      <w:tc>
        <w:tcPr>
          <w:tcW w:w="4968" w:type="dxa"/>
        </w:tcPr>
        <w:p w14:paraId="7908FFB5" w14:textId="58EB1591" w:rsidR="009F56D6" w:rsidRDefault="00F9594E" w:rsidP="009F56D6">
          <w:pPr>
            <w:pStyle w:val="Header"/>
            <w:jc w:val="left"/>
            <w:rPr>
              <w:b/>
              <w:i/>
              <w:sz w:val="32"/>
            </w:rPr>
          </w:pPr>
          <w:r>
            <w:rPr>
              <w:b/>
              <w:i/>
              <w:sz w:val="32"/>
              <w:szCs w:val="32"/>
            </w:rPr>
            <w:t>ETSI Board#1</w:t>
          </w:r>
          <w:r w:rsidR="003E3D2B">
            <w:rPr>
              <w:b/>
              <w:i/>
              <w:sz w:val="32"/>
              <w:szCs w:val="32"/>
            </w:rPr>
            <w:t>3</w:t>
          </w:r>
          <w:r w:rsidR="007639BD">
            <w:rPr>
              <w:b/>
              <w:i/>
              <w:sz w:val="32"/>
              <w:szCs w:val="32"/>
            </w:rPr>
            <w:t>9</w:t>
          </w:r>
        </w:p>
      </w:tc>
    </w:tr>
    <w:tr w:rsidR="009F56D6" w14:paraId="73EF3F7C" w14:textId="77777777" w:rsidTr="00487EFF">
      <w:tc>
        <w:tcPr>
          <w:tcW w:w="4968" w:type="dxa"/>
        </w:tcPr>
        <w:p w14:paraId="5C66EF17" w14:textId="77777777" w:rsidR="009F56D6" w:rsidRDefault="00C33F5B" w:rsidP="009F56D6">
          <w:pPr>
            <w:pStyle w:val="Header"/>
            <w:jc w:val="left"/>
            <w:rPr>
              <w:b/>
              <w:i/>
              <w:sz w:val="32"/>
            </w:rPr>
          </w:pPr>
          <w:r>
            <w:rPr>
              <w:b/>
              <w:i/>
              <w:sz w:val="32"/>
              <w:szCs w:val="32"/>
            </w:rPr>
            <w:t>Sophia Antipolis</w:t>
          </w:r>
        </w:p>
      </w:tc>
    </w:tr>
    <w:tr w:rsidR="009F56D6" w:rsidRPr="00CE3E66" w14:paraId="4F763C15" w14:textId="77777777" w:rsidTr="00487EFF">
      <w:tc>
        <w:tcPr>
          <w:tcW w:w="4968" w:type="dxa"/>
        </w:tcPr>
        <w:p w14:paraId="3C637B19" w14:textId="5F88E735" w:rsidR="009F56D6" w:rsidRPr="00CE3E66" w:rsidRDefault="00267C9C" w:rsidP="009F56D6">
          <w:pPr>
            <w:pStyle w:val="Header"/>
            <w:jc w:val="left"/>
            <w:rPr>
              <w:b/>
              <w:i/>
              <w:sz w:val="32"/>
            </w:rPr>
          </w:pPr>
          <w:r>
            <w:rPr>
              <w:b/>
              <w:i/>
              <w:sz w:val="32"/>
            </w:rPr>
            <w:t>0</w:t>
          </w:r>
          <w:r w:rsidR="00C33F5B">
            <w:rPr>
              <w:b/>
              <w:i/>
              <w:sz w:val="32"/>
            </w:rPr>
            <w:t>6 -</w:t>
          </w:r>
          <w:r w:rsidR="007639BD">
            <w:rPr>
              <w:b/>
              <w:i/>
              <w:sz w:val="32"/>
            </w:rPr>
            <w:t xml:space="preserve"> </w:t>
          </w:r>
          <w:r>
            <w:rPr>
              <w:b/>
              <w:i/>
              <w:sz w:val="32"/>
            </w:rPr>
            <w:t>08</w:t>
          </w:r>
          <w:r w:rsidR="00C33F5B">
            <w:rPr>
              <w:b/>
              <w:i/>
              <w:sz w:val="32"/>
            </w:rPr>
            <w:t xml:space="preserve"> </w:t>
          </w:r>
          <w:r w:rsidR="007639BD">
            <w:rPr>
              <w:b/>
              <w:i/>
              <w:sz w:val="32"/>
            </w:rPr>
            <w:t>September</w:t>
          </w:r>
          <w:r w:rsidR="00EB208F">
            <w:rPr>
              <w:b/>
              <w:i/>
              <w:sz w:val="32"/>
            </w:rPr>
            <w:t xml:space="preserve"> </w:t>
          </w:r>
          <w:r w:rsidR="009F56D6">
            <w:rPr>
              <w:b/>
              <w:i/>
              <w:sz w:val="32"/>
            </w:rPr>
            <w:t>20</w:t>
          </w:r>
          <w:r w:rsidR="00DE7E3B">
            <w:rPr>
              <w:b/>
              <w:i/>
              <w:sz w:val="32"/>
            </w:rPr>
            <w:t>2</w:t>
          </w:r>
          <w:r w:rsidR="00C33F5B">
            <w:rPr>
              <w:b/>
              <w:i/>
              <w:sz w:val="32"/>
            </w:rPr>
            <w:t>2</w:t>
          </w:r>
        </w:p>
      </w:tc>
    </w:tr>
  </w:tbl>
  <w:p w14:paraId="05EBCED8" w14:textId="77777777" w:rsidR="00A91789" w:rsidRDefault="00A91789" w:rsidP="009F56D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A54"/>
    <w:multiLevelType w:val="hybridMultilevel"/>
    <w:tmpl w:val="45CE6C3E"/>
    <w:lvl w:ilvl="0" w:tplc="D8BE80DE">
      <w:start w:val="2022"/>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EF64B0"/>
    <w:multiLevelType w:val="hybridMultilevel"/>
    <w:tmpl w:val="6E6815E0"/>
    <w:lvl w:ilvl="0" w:tplc="AF5E4A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D6892"/>
    <w:multiLevelType w:val="hybridMultilevel"/>
    <w:tmpl w:val="7EF02ED4"/>
    <w:lvl w:ilvl="0" w:tplc="A442F4A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C5203"/>
    <w:multiLevelType w:val="hybridMultilevel"/>
    <w:tmpl w:val="A6EC3DBC"/>
    <w:lvl w:ilvl="0" w:tplc="474805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974EC"/>
    <w:multiLevelType w:val="hybridMultilevel"/>
    <w:tmpl w:val="3BFE099E"/>
    <w:lvl w:ilvl="0" w:tplc="308839C8">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483EDA"/>
    <w:multiLevelType w:val="hybridMultilevel"/>
    <w:tmpl w:val="EABE3E02"/>
    <w:lvl w:ilvl="0" w:tplc="33EE9AB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D0C83"/>
    <w:multiLevelType w:val="hybridMultilevel"/>
    <w:tmpl w:val="F61646AE"/>
    <w:lvl w:ilvl="0" w:tplc="10C48FFA">
      <w:start w:val="1"/>
      <w:numFmt w:val="decimal"/>
      <w:lvlText w:val="%1)"/>
      <w:lvlJc w:val="left"/>
      <w:pPr>
        <w:ind w:left="720" w:hanging="360"/>
      </w:pPr>
      <w:rPr>
        <w:rFonts w:ascii="Calibri" w:eastAsia="Verdana"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C329F"/>
    <w:multiLevelType w:val="hybridMultilevel"/>
    <w:tmpl w:val="6458F792"/>
    <w:lvl w:ilvl="0" w:tplc="56A8FF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642775"/>
    <w:multiLevelType w:val="hybridMultilevel"/>
    <w:tmpl w:val="0C18530A"/>
    <w:lvl w:ilvl="0" w:tplc="E28EE52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659F0"/>
    <w:multiLevelType w:val="hybridMultilevel"/>
    <w:tmpl w:val="6E7E46E6"/>
    <w:lvl w:ilvl="0" w:tplc="4518253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478372">
    <w:abstractNumId w:val="7"/>
  </w:num>
  <w:num w:numId="2" w16cid:durableId="2086341206">
    <w:abstractNumId w:val="7"/>
  </w:num>
  <w:num w:numId="3" w16cid:durableId="445122462">
    <w:abstractNumId w:val="8"/>
  </w:num>
  <w:num w:numId="4" w16cid:durableId="1247810628">
    <w:abstractNumId w:val="5"/>
  </w:num>
  <w:num w:numId="5" w16cid:durableId="1567959950">
    <w:abstractNumId w:val="9"/>
  </w:num>
  <w:num w:numId="6" w16cid:durableId="433599972">
    <w:abstractNumId w:val="3"/>
  </w:num>
  <w:num w:numId="7" w16cid:durableId="2105376565">
    <w:abstractNumId w:val="1"/>
  </w:num>
  <w:num w:numId="8" w16cid:durableId="604926791">
    <w:abstractNumId w:val="7"/>
  </w:num>
  <w:num w:numId="9" w16cid:durableId="1450247530">
    <w:abstractNumId w:val="0"/>
  </w:num>
  <w:num w:numId="10" w16cid:durableId="1528450034">
    <w:abstractNumId w:val="4"/>
  </w:num>
  <w:num w:numId="11" w16cid:durableId="1408770418">
    <w:abstractNumId w:val="6"/>
    <w:lvlOverride w:ilvl="0">
      <w:startOverride w:val="1"/>
    </w:lvlOverride>
    <w:lvlOverride w:ilvl="1"/>
    <w:lvlOverride w:ilvl="2"/>
    <w:lvlOverride w:ilvl="3"/>
    <w:lvlOverride w:ilvl="4"/>
    <w:lvlOverride w:ilvl="5"/>
    <w:lvlOverride w:ilvl="6"/>
    <w:lvlOverride w:ilvl="7"/>
    <w:lvlOverride w:ilvl="8"/>
  </w:num>
  <w:num w:numId="12" w16cid:durableId="2066444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KwNLSwMDWxNDAyMzNQ0lEKTi0uzszPAykwqQUAraI9lSwAAAA="/>
  </w:docVars>
  <w:rsids>
    <w:rsidRoot w:val="0046720D"/>
    <w:rsid w:val="0001591F"/>
    <w:rsid w:val="0002235D"/>
    <w:rsid w:val="00023738"/>
    <w:rsid w:val="00025C6C"/>
    <w:rsid w:val="00077493"/>
    <w:rsid w:val="00081EBC"/>
    <w:rsid w:val="0008682D"/>
    <w:rsid w:val="00087BA5"/>
    <w:rsid w:val="0009049C"/>
    <w:rsid w:val="00093B22"/>
    <w:rsid w:val="00097C57"/>
    <w:rsid w:val="000A79B8"/>
    <w:rsid w:val="000B2AF0"/>
    <w:rsid w:val="000C4042"/>
    <w:rsid w:val="000E4B7C"/>
    <w:rsid w:val="000E6617"/>
    <w:rsid w:val="001040D6"/>
    <w:rsid w:val="00111187"/>
    <w:rsid w:val="00114B34"/>
    <w:rsid w:val="001213B5"/>
    <w:rsid w:val="00134BB4"/>
    <w:rsid w:val="00143BF0"/>
    <w:rsid w:val="00153AAC"/>
    <w:rsid w:val="00157896"/>
    <w:rsid w:val="00165B0F"/>
    <w:rsid w:val="00192E93"/>
    <w:rsid w:val="001956EE"/>
    <w:rsid w:val="001A76BD"/>
    <w:rsid w:val="001B1A2A"/>
    <w:rsid w:val="001B45CF"/>
    <w:rsid w:val="001D1CF3"/>
    <w:rsid w:val="001D2224"/>
    <w:rsid w:val="001E2290"/>
    <w:rsid w:val="001E40C7"/>
    <w:rsid w:val="001F5C84"/>
    <w:rsid w:val="001F7802"/>
    <w:rsid w:val="00200A39"/>
    <w:rsid w:val="002043AC"/>
    <w:rsid w:val="00206045"/>
    <w:rsid w:val="00206499"/>
    <w:rsid w:val="00207209"/>
    <w:rsid w:val="0022239E"/>
    <w:rsid w:val="0022313A"/>
    <w:rsid w:val="00232C32"/>
    <w:rsid w:val="002372F3"/>
    <w:rsid w:val="00241322"/>
    <w:rsid w:val="00242707"/>
    <w:rsid w:val="00242D6C"/>
    <w:rsid w:val="0024337C"/>
    <w:rsid w:val="002468C4"/>
    <w:rsid w:val="002629A8"/>
    <w:rsid w:val="0026326D"/>
    <w:rsid w:val="002662C2"/>
    <w:rsid w:val="00267C9C"/>
    <w:rsid w:val="00271094"/>
    <w:rsid w:val="002722E0"/>
    <w:rsid w:val="00272B85"/>
    <w:rsid w:val="0028667B"/>
    <w:rsid w:val="002A1535"/>
    <w:rsid w:val="002A601D"/>
    <w:rsid w:val="002A6BB2"/>
    <w:rsid w:val="002B51C5"/>
    <w:rsid w:val="002C5873"/>
    <w:rsid w:val="002D1635"/>
    <w:rsid w:val="002F2A13"/>
    <w:rsid w:val="003005AC"/>
    <w:rsid w:val="003011F9"/>
    <w:rsid w:val="00306BD4"/>
    <w:rsid w:val="00317980"/>
    <w:rsid w:val="00317C1E"/>
    <w:rsid w:val="00331729"/>
    <w:rsid w:val="003351CA"/>
    <w:rsid w:val="0033705A"/>
    <w:rsid w:val="00342E0F"/>
    <w:rsid w:val="00343558"/>
    <w:rsid w:val="0034762B"/>
    <w:rsid w:val="0035169D"/>
    <w:rsid w:val="0035427E"/>
    <w:rsid w:val="0035462D"/>
    <w:rsid w:val="00354878"/>
    <w:rsid w:val="00356AA1"/>
    <w:rsid w:val="003621F1"/>
    <w:rsid w:val="0036353B"/>
    <w:rsid w:val="00371740"/>
    <w:rsid w:val="0039018E"/>
    <w:rsid w:val="00391754"/>
    <w:rsid w:val="0039467F"/>
    <w:rsid w:val="003A490B"/>
    <w:rsid w:val="003A5F3E"/>
    <w:rsid w:val="003B1203"/>
    <w:rsid w:val="003B5B7A"/>
    <w:rsid w:val="003D1AD8"/>
    <w:rsid w:val="003E0E91"/>
    <w:rsid w:val="003E3D2B"/>
    <w:rsid w:val="003F121D"/>
    <w:rsid w:val="00413E55"/>
    <w:rsid w:val="00417B22"/>
    <w:rsid w:val="0042167F"/>
    <w:rsid w:val="004252D4"/>
    <w:rsid w:val="00442E65"/>
    <w:rsid w:val="00456939"/>
    <w:rsid w:val="00456ADE"/>
    <w:rsid w:val="0046417A"/>
    <w:rsid w:val="004654D0"/>
    <w:rsid w:val="0046639F"/>
    <w:rsid w:val="0046720D"/>
    <w:rsid w:val="004705F3"/>
    <w:rsid w:val="00473558"/>
    <w:rsid w:val="00473FAA"/>
    <w:rsid w:val="004746FD"/>
    <w:rsid w:val="00487EFF"/>
    <w:rsid w:val="00492298"/>
    <w:rsid w:val="004A1FC6"/>
    <w:rsid w:val="004A42D2"/>
    <w:rsid w:val="004B31EF"/>
    <w:rsid w:val="004B7EF9"/>
    <w:rsid w:val="004D7199"/>
    <w:rsid w:val="004E4496"/>
    <w:rsid w:val="004E4CCA"/>
    <w:rsid w:val="004E6658"/>
    <w:rsid w:val="004F1F57"/>
    <w:rsid w:val="004F41FF"/>
    <w:rsid w:val="004F6BE7"/>
    <w:rsid w:val="005056AE"/>
    <w:rsid w:val="00522165"/>
    <w:rsid w:val="00523DD5"/>
    <w:rsid w:val="00525BC1"/>
    <w:rsid w:val="0055208D"/>
    <w:rsid w:val="005528EC"/>
    <w:rsid w:val="00552FC3"/>
    <w:rsid w:val="005542FC"/>
    <w:rsid w:val="00560746"/>
    <w:rsid w:val="00571D47"/>
    <w:rsid w:val="00584E2A"/>
    <w:rsid w:val="005952F3"/>
    <w:rsid w:val="00595F7F"/>
    <w:rsid w:val="00596361"/>
    <w:rsid w:val="005A386B"/>
    <w:rsid w:val="005B1982"/>
    <w:rsid w:val="005B223A"/>
    <w:rsid w:val="005C10E3"/>
    <w:rsid w:val="005C6A12"/>
    <w:rsid w:val="005C749B"/>
    <w:rsid w:val="005D5084"/>
    <w:rsid w:val="005D627D"/>
    <w:rsid w:val="005E1FA9"/>
    <w:rsid w:val="005F0824"/>
    <w:rsid w:val="005F1B31"/>
    <w:rsid w:val="005F2B40"/>
    <w:rsid w:val="005F2DA3"/>
    <w:rsid w:val="005F74CB"/>
    <w:rsid w:val="00604331"/>
    <w:rsid w:val="00621E1F"/>
    <w:rsid w:val="0062384F"/>
    <w:rsid w:val="00632E42"/>
    <w:rsid w:val="006360BB"/>
    <w:rsid w:val="00650B6D"/>
    <w:rsid w:val="006574AF"/>
    <w:rsid w:val="006623A7"/>
    <w:rsid w:val="00664E45"/>
    <w:rsid w:val="00673053"/>
    <w:rsid w:val="00680913"/>
    <w:rsid w:val="006816BD"/>
    <w:rsid w:val="00691B19"/>
    <w:rsid w:val="006A0D11"/>
    <w:rsid w:val="006A4FAA"/>
    <w:rsid w:val="006C01EF"/>
    <w:rsid w:val="006C1C46"/>
    <w:rsid w:val="006D44C0"/>
    <w:rsid w:val="006F3BF5"/>
    <w:rsid w:val="006F632A"/>
    <w:rsid w:val="00707075"/>
    <w:rsid w:val="00720150"/>
    <w:rsid w:val="00734361"/>
    <w:rsid w:val="00750A9F"/>
    <w:rsid w:val="00762C3A"/>
    <w:rsid w:val="007639BD"/>
    <w:rsid w:val="00764EBF"/>
    <w:rsid w:val="00772C60"/>
    <w:rsid w:val="007B4313"/>
    <w:rsid w:val="007D2DF8"/>
    <w:rsid w:val="007E0696"/>
    <w:rsid w:val="007E17DE"/>
    <w:rsid w:val="007F159A"/>
    <w:rsid w:val="007F1D04"/>
    <w:rsid w:val="007F3E86"/>
    <w:rsid w:val="00807E31"/>
    <w:rsid w:val="00807FAD"/>
    <w:rsid w:val="0081011B"/>
    <w:rsid w:val="00811889"/>
    <w:rsid w:val="00816E5A"/>
    <w:rsid w:val="00822B97"/>
    <w:rsid w:val="008403C0"/>
    <w:rsid w:val="008410F2"/>
    <w:rsid w:val="00843B4C"/>
    <w:rsid w:val="008451EB"/>
    <w:rsid w:val="00862827"/>
    <w:rsid w:val="00870046"/>
    <w:rsid w:val="0087482F"/>
    <w:rsid w:val="00883893"/>
    <w:rsid w:val="00887860"/>
    <w:rsid w:val="008B1713"/>
    <w:rsid w:val="008C0231"/>
    <w:rsid w:val="008C2AD6"/>
    <w:rsid w:val="008C41C7"/>
    <w:rsid w:val="008D11F6"/>
    <w:rsid w:val="008E482E"/>
    <w:rsid w:val="008F1A82"/>
    <w:rsid w:val="009062EB"/>
    <w:rsid w:val="00907142"/>
    <w:rsid w:val="0091004E"/>
    <w:rsid w:val="009140E0"/>
    <w:rsid w:val="00933294"/>
    <w:rsid w:val="0093362C"/>
    <w:rsid w:val="00934466"/>
    <w:rsid w:val="009348FA"/>
    <w:rsid w:val="00941AF9"/>
    <w:rsid w:val="00945319"/>
    <w:rsid w:val="00945337"/>
    <w:rsid w:val="00956FC6"/>
    <w:rsid w:val="00961798"/>
    <w:rsid w:val="00964270"/>
    <w:rsid w:val="00964C6F"/>
    <w:rsid w:val="00967DF4"/>
    <w:rsid w:val="0097281C"/>
    <w:rsid w:val="00986EDB"/>
    <w:rsid w:val="009A01FD"/>
    <w:rsid w:val="009D0BEF"/>
    <w:rsid w:val="009D0EBE"/>
    <w:rsid w:val="009E32F8"/>
    <w:rsid w:val="009E59D6"/>
    <w:rsid w:val="009E73DF"/>
    <w:rsid w:val="009F396C"/>
    <w:rsid w:val="009F56D6"/>
    <w:rsid w:val="009F5C08"/>
    <w:rsid w:val="00A10712"/>
    <w:rsid w:val="00A12E7B"/>
    <w:rsid w:val="00A158F1"/>
    <w:rsid w:val="00A345A5"/>
    <w:rsid w:val="00A3710D"/>
    <w:rsid w:val="00A438B4"/>
    <w:rsid w:val="00A47E80"/>
    <w:rsid w:val="00A50DAC"/>
    <w:rsid w:val="00A52DC7"/>
    <w:rsid w:val="00A61127"/>
    <w:rsid w:val="00A61A00"/>
    <w:rsid w:val="00A61BFF"/>
    <w:rsid w:val="00A6323C"/>
    <w:rsid w:val="00A71DAC"/>
    <w:rsid w:val="00A71E43"/>
    <w:rsid w:val="00A72194"/>
    <w:rsid w:val="00A75558"/>
    <w:rsid w:val="00A772D2"/>
    <w:rsid w:val="00A776F0"/>
    <w:rsid w:val="00A810FE"/>
    <w:rsid w:val="00A82893"/>
    <w:rsid w:val="00A91789"/>
    <w:rsid w:val="00A9454D"/>
    <w:rsid w:val="00A96D6E"/>
    <w:rsid w:val="00AA305D"/>
    <w:rsid w:val="00AC5E30"/>
    <w:rsid w:val="00AD2002"/>
    <w:rsid w:val="00AE40F6"/>
    <w:rsid w:val="00AF6956"/>
    <w:rsid w:val="00B014E3"/>
    <w:rsid w:val="00B05C79"/>
    <w:rsid w:val="00B07AE5"/>
    <w:rsid w:val="00B07E7B"/>
    <w:rsid w:val="00B25568"/>
    <w:rsid w:val="00B36162"/>
    <w:rsid w:val="00B46C0B"/>
    <w:rsid w:val="00B61C87"/>
    <w:rsid w:val="00B627F4"/>
    <w:rsid w:val="00B65C17"/>
    <w:rsid w:val="00B66EC4"/>
    <w:rsid w:val="00B71934"/>
    <w:rsid w:val="00B7602C"/>
    <w:rsid w:val="00B76AFA"/>
    <w:rsid w:val="00B85D64"/>
    <w:rsid w:val="00B86C79"/>
    <w:rsid w:val="00B90344"/>
    <w:rsid w:val="00B916D2"/>
    <w:rsid w:val="00BB25BB"/>
    <w:rsid w:val="00BB6231"/>
    <w:rsid w:val="00BC2B0D"/>
    <w:rsid w:val="00BD0DF8"/>
    <w:rsid w:val="00BD7544"/>
    <w:rsid w:val="00BD7747"/>
    <w:rsid w:val="00BE3BBA"/>
    <w:rsid w:val="00BE47F0"/>
    <w:rsid w:val="00BF7CCD"/>
    <w:rsid w:val="00C15214"/>
    <w:rsid w:val="00C2419E"/>
    <w:rsid w:val="00C33F5B"/>
    <w:rsid w:val="00C41CF0"/>
    <w:rsid w:val="00C429FE"/>
    <w:rsid w:val="00C52ADE"/>
    <w:rsid w:val="00C5789E"/>
    <w:rsid w:val="00C74A07"/>
    <w:rsid w:val="00C76476"/>
    <w:rsid w:val="00C82F6B"/>
    <w:rsid w:val="00C907D6"/>
    <w:rsid w:val="00C95134"/>
    <w:rsid w:val="00C97E7D"/>
    <w:rsid w:val="00CA5231"/>
    <w:rsid w:val="00CB5D49"/>
    <w:rsid w:val="00CB77E7"/>
    <w:rsid w:val="00CB79F6"/>
    <w:rsid w:val="00CB7C28"/>
    <w:rsid w:val="00CC1F0E"/>
    <w:rsid w:val="00CC2F4D"/>
    <w:rsid w:val="00CD155C"/>
    <w:rsid w:val="00CF62DF"/>
    <w:rsid w:val="00D12417"/>
    <w:rsid w:val="00D21D42"/>
    <w:rsid w:val="00D23A22"/>
    <w:rsid w:val="00D3128E"/>
    <w:rsid w:val="00D3396F"/>
    <w:rsid w:val="00D64943"/>
    <w:rsid w:val="00D65E25"/>
    <w:rsid w:val="00D81626"/>
    <w:rsid w:val="00D816D9"/>
    <w:rsid w:val="00D855B4"/>
    <w:rsid w:val="00D94108"/>
    <w:rsid w:val="00D94483"/>
    <w:rsid w:val="00D94C76"/>
    <w:rsid w:val="00DA1EEB"/>
    <w:rsid w:val="00DA66DE"/>
    <w:rsid w:val="00DA6767"/>
    <w:rsid w:val="00DB110A"/>
    <w:rsid w:val="00DB1501"/>
    <w:rsid w:val="00DB1C4C"/>
    <w:rsid w:val="00DB4A94"/>
    <w:rsid w:val="00DC5823"/>
    <w:rsid w:val="00DE02EC"/>
    <w:rsid w:val="00DE7E3B"/>
    <w:rsid w:val="00DF3EA4"/>
    <w:rsid w:val="00E05486"/>
    <w:rsid w:val="00E17BD8"/>
    <w:rsid w:val="00E261BD"/>
    <w:rsid w:val="00E3643B"/>
    <w:rsid w:val="00E3760E"/>
    <w:rsid w:val="00E414BA"/>
    <w:rsid w:val="00E421A1"/>
    <w:rsid w:val="00E5211A"/>
    <w:rsid w:val="00E565A3"/>
    <w:rsid w:val="00E63230"/>
    <w:rsid w:val="00E66098"/>
    <w:rsid w:val="00E66135"/>
    <w:rsid w:val="00E77EE3"/>
    <w:rsid w:val="00E83FCA"/>
    <w:rsid w:val="00E8575E"/>
    <w:rsid w:val="00E9049B"/>
    <w:rsid w:val="00E90DDD"/>
    <w:rsid w:val="00EA064D"/>
    <w:rsid w:val="00EA3D7A"/>
    <w:rsid w:val="00EB208F"/>
    <w:rsid w:val="00EB6D6C"/>
    <w:rsid w:val="00EC13C4"/>
    <w:rsid w:val="00ED59A1"/>
    <w:rsid w:val="00EE1589"/>
    <w:rsid w:val="00EE62A5"/>
    <w:rsid w:val="00EF299A"/>
    <w:rsid w:val="00EF487D"/>
    <w:rsid w:val="00EF62E4"/>
    <w:rsid w:val="00EF6F8C"/>
    <w:rsid w:val="00F03DA9"/>
    <w:rsid w:val="00F049A3"/>
    <w:rsid w:val="00F10D68"/>
    <w:rsid w:val="00F16229"/>
    <w:rsid w:val="00F1768A"/>
    <w:rsid w:val="00F20AF8"/>
    <w:rsid w:val="00F2452B"/>
    <w:rsid w:val="00F35ABA"/>
    <w:rsid w:val="00F42CB4"/>
    <w:rsid w:val="00F43072"/>
    <w:rsid w:val="00F563FC"/>
    <w:rsid w:val="00F56766"/>
    <w:rsid w:val="00F645BF"/>
    <w:rsid w:val="00F6577B"/>
    <w:rsid w:val="00F71B4C"/>
    <w:rsid w:val="00F72E57"/>
    <w:rsid w:val="00F7440C"/>
    <w:rsid w:val="00F76643"/>
    <w:rsid w:val="00F77F55"/>
    <w:rsid w:val="00F81EA3"/>
    <w:rsid w:val="00F82144"/>
    <w:rsid w:val="00F830A9"/>
    <w:rsid w:val="00F8584B"/>
    <w:rsid w:val="00F9594E"/>
    <w:rsid w:val="00FA34D0"/>
    <w:rsid w:val="00FB5C5B"/>
    <w:rsid w:val="00FC7045"/>
    <w:rsid w:val="00FC7655"/>
    <w:rsid w:val="00FD20D9"/>
    <w:rsid w:val="00FD68E3"/>
    <w:rsid w:val="00FD7158"/>
    <w:rsid w:val="00FD79EB"/>
    <w:rsid w:val="00FE3130"/>
    <w:rsid w:val="00FE549F"/>
    <w:rsid w:val="00FF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92DEA"/>
  <w15:chartTrackingRefBased/>
  <w15:docId w15:val="{F3BEBF56-88E5-45CE-A981-65621AD0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qFormat/>
    <w:pPr>
      <w:keepNext/>
      <w:keepLines/>
      <w:tabs>
        <w:tab w:val="left" w:pos="709"/>
      </w:tabs>
      <w:overflowPunct w:val="0"/>
      <w:autoSpaceDE w:val="0"/>
      <w:autoSpaceDN w:val="0"/>
      <w:adjustRightInd w:val="0"/>
      <w:spacing w:after="240" w:line="240" w:lineRule="atLeast"/>
      <w:ind w:left="709" w:hanging="709"/>
      <w:jc w:val="both"/>
      <w:textAlignment w:val="baseline"/>
      <w:outlineLvl w:val="0"/>
    </w:pPr>
    <w:rPr>
      <w:rFonts w:ascii="Arial" w:hAnsi="Arial"/>
      <w:b/>
      <w:sz w:val="24"/>
      <w:lang w:eastAsia="en-US"/>
    </w:rPr>
  </w:style>
  <w:style w:type="paragraph" w:styleId="Heading2">
    <w:name w:val="heading 2"/>
    <w:next w:val="Normal"/>
    <w:qFormat/>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hAnsi="Arial"/>
      <w:b/>
      <w:lang w:eastAsia="en-US"/>
    </w:rPr>
  </w:style>
  <w:style w:type="paragraph" w:styleId="Heading3">
    <w:name w:val="heading 3"/>
    <w:next w:val="Normal"/>
    <w:qFormat/>
    <w:pPr>
      <w:keepNext/>
      <w:keepLines/>
      <w:tabs>
        <w:tab w:val="left" w:pos="1134"/>
      </w:tabs>
      <w:overflowPunct w:val="0"/>
      <w:autoSpaceDE w:val="0"/>
      <w:autoSpaceDN w:val="0"/>
      <w:adjustRightInd w:val="0"/>
      <w:spacing w:after="240" w:line="240" w:lineRule="atLeast"/>
      <w:ind w:left="1134" w:hanging="1134"/>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1"/>
    <w:next w:val="Normal"/>
    <w:qFormat/>
    <w:pPr>
      <w:tabs>
        <w:tab w:val="clear" w:pos="709"/>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1418"/>
        <w:tab w:val="clear" w:pos="4678"/>
        <w:tab w:val="clear" w:pos="5954"/>
        <w:tab w:val="clear" w:pos="7088"/>
        <w:tab w:val="center" w:pos="4819"/>
        <w:tab w:val="right" w:pos="9071"/>
      </w:tabs>
    </w:pPr>
  </w:style>
  <w:style w:type="paragraph" w:styleId="Header">
    <w:name w:val="header"/>
    <w:basedOn w:val="Normal"/>
    <w:pPr>
      <w:tabs>
        <w:tab w:val="clear" w:pos="1418"/>
        <w:tab w:val="clear" w:pos="4678"/>
        <w:tab w:val="clear" w:pos="5954"/>
        <w:tab w:val="clear" w:pos="7088"/>
        <w:tab w:val="center" w:pos="4819"/>
        <w:tab w:val="right" w:pos="9071"/>
      </w:tabs>
    </w:pPr>
  </w:style>
  <w:style w:type="paragraph" w:styleId="CommentSubject">
    <w:name w:val="annotation subject"/>
    <w:basedOn w:val="CommentText"/>
    <w:next w:val="CommentText"/>
    <w:link w:val="CommentSubjectChar"/>
    <w:rsid w:val="00772C60"/>
    <w:rPr>
      <w:b/>
      <w:bCs/>
    </w:rPr>
  </w:style>
  <w:style w:type="paragraph" w:customStyle="1" w:styleId="B1">
    <w:name w:val="B1"/>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character" w:customStyle="1" w:styleId="CommentTextChar">
    <w:name w:val="Comment Text Char"/>
    <w:link w:val="CommentText"/>
    <w:semiHidden/>
    <w:rsid w:val="00772C60"/>
    <w:rPr>
      <w:rFonts w:ascii="Arial" w:hAnsi="Arial"/>
      <w:lang w:eastAsia="en-US"/>
    </w:rPr>
  </w:style>
  <w:style w:type="character" w:customStyle="1" w:styleId="CommentSubjectChar">
    <w:name w:val="Comment Subject Char"/>
    <w:link w:val="CommentSubject"/>
    <w:rsid w:val="00772C60"/>
    <w:rPr>
      <w:rFonts w:ascii="Arial" w:hAnsi="Arial"/>
      <w:b/>
      <w:bCs/>
      <w:lang w:eastAsia="en-US"/>
    </w:rPr>
  </w:style>
  <w:style w:type="paragraph" w:styleId="BalloonText">
    <w:name w:val="Balloon Text"/>
    <w:basedOn w:val="Normal"/>
    <w:link w:val="BalloonTextChar"/>
    <w:rsid w:val="00772C60"/>
    <w:rPr>
      <w:rFonts w:ascii="Segoe UI" w:hAnsi="Segoe UI" w:cs="Segoe UI"/>
      <w:sz w:val="18"/>
      <w:szCs w:val="18"/>
    </w:rPr>
  </w:style>
  <w:style w:type="character" w:customStyle="1" w:styleId="BalloonTextChar">
    <w:name w:val="Balloon Text Char"/>
    <w:link w:val="BalloonText"/>
    <w:rsid w:val="00772C60"/>
    <w:rPr>
      <w:rFonts w:ascii="Segoe UI" w:hAnsi="Segoe UI" w:cs="Segoe UI"/>
      <w:sz w:val="18"/>
      <w:szCs w:val="18"/>
      <w:lang w:eastAsia="en-US"/>
    </w:rPr>
  </w:style>
  <w:style w:type="character" w:styleId="Hyperlink">
    <w:name w:val="Hyperlink"/>
    <w:basedOn w:val="DefaultParagraphFont"/>
    <w:rsid w:val="00584E2A"/>
    <w:rPr>
      <w:color w:val="0563C1" w:themeColor="hyperlink"/>
      <w:u w:val="single"/>
    </w:rPr>
  </w:style>
  <w:style w:type="character" w:styleId="UnresolvedMention">
    <w:name w:val="Unresolved Mention"/>
    <w:basedOn w:val="DefaultParagraphFont"/>
    <w:uiPriority w:val="99"/>
    <w:semiHidden/>
    <w:unhideWhenUsed/>
    <w:rsid w:val="00584E2A"/>
    <w:rPr>
      <w:color w:val="605E5C"/>
      <w:shd w:val="clear" w:color="auto" w:fill="E1DFDD"/>
    </w:rPr>
  </w:style>
  <w:style w:type="paragraph" w:styleId="ListParagraph">
    <w:name w:val="List Paragraph"/>
    <w:basedOn w:val="Normal"/>
    <w:uiPriority w:val="34"/>
    <w:qFormat/>
    <w:rsid w:val="0001591F"/>
    <w:pPr>
      <w:tabs>
        <w:tab w:val="clear" w:pos="1418"/>
        <w:tab w:val="clear" w:pos="4678"/>
        <w:tab w:val="clear" w:pos="5954"/>
        <w:tab w:val="clear" w:pos="7088"/>
      </w:tabs>
      <w:overflowPunct/>
      <w:autoSpaceDE/>
      <w:autoSpaceDN/>
      <w:adjustRightInd/>
      <w:spacing w:after="200" w:line="276" w:lineRule="auto"/>
      <w:ind w:left="708"/>
      <w:jc w:val="left"/>
      <w:textAlignment w:val="auto"/>
    </w:pPr>
    <w:rPr>
      <w:rFonts w:ascii="Calibri" w:eastAsia="Calibri" w:hAnsi="Calibri"/>
      <w:sz w:val="22"/>
      <w:szCs w:val="22"/>
    </w:rPr>
  </w:style>
  <w:style w:type="paragraph" w:customStyle="1" w:styleId="Default">
    <w:name w:val="Default"/>
    <w:rsid w:val="00FD20D9"/>
    <w:pPr>
      <w:autoSpaceDE w:val="0"/>
      <w:autoSpaceDN w:val="0"/>
      <w:adjustRightInd w:val="0"/>
    </w:pPr>
    <w:rPr>
      <w:rFonts w:ascii="Arial" w:eastAsiaTheme="minorEastAsia" w:hAnsi="Arial" w:cs="Arial"/>
      <w:color w:val="000000"/>
      <w:sz w:val="24"/>
      <w:szCs w:val="24"/>
      <w:lang w:val="es-ES" w:eastAsia="es-ES"/>
    </w:rPr>
  </w:style>
  <w:style w:type="character" w:customStyle="1" w:styleId="FootnoteTextChar">
    <w:name w:val="Footnote Text Char"/>
    <w:basedOn w:val="DefaultParagraphFont"/>
    <w:link w:val="FootnoteText"/>
    <w:uiPriority w:val="99"/>
    <w:semiHidden/>
    <w:rsid w:val="00FD20D9"/>
    <w:rPr>
      <w:rFonts w:ascii="Arial" w:hAnsi="Arial"/>
      <w:sz w:val="16"/>
      <w:lang w:eastAsia="en-US"/>
    </w:rPr>
  </w:style>
  <w:style w:type="paragraph" w:styleId="Revision">
    <w:name w:val="Revision"/>
    <w:hidden/>
    <w:uiPriority w:val="99"/>
    <w:semiHidden/>
    <w:rsid w:val="004F6BE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2538">
      <w:bodyDiv w:val="1"/>
      <w:marLeft w:val="0"/>
      <w:marRight w:val="0"/>
      <w:marTop w:val="0"/>
      <w:marBottom w:val="0"/>
      <w:divBdr>
        <w:top w:val="none" w:sz="0" w:space="0" w:color="auto"/>
        <w:left w:val="none" w:sz="0" w:space="0" w:color="auto"/>
        <w:bottom w:val="none" w:sz="0" w:space="0" w:color="auto"/>
        <w:right w:val="none" w:sz="0" w:space="0" w:color="auto"/>
      </w:divBdr>
    </w:div>
    <w:div w:id="1617717494">
      <w:bodyDiv w:val="1"/>
      <w:marLeft w:val="0"/>
      <w:marRight w:val="0"/>
      <w:marTop w:val="0"/>
      <w:marBottom w:val="0"/>
      <w:divBdr>
        <w:top w:val="none" w:sz="0" w:space="0" w:color="auto"/>
        <w:left w:val="none" w:sz="0" w:space="0" w:color="auto"/>
        <w:bottom w:val="none" w:sz="0" w:space="0" w:color="auto"/>
        <w:right w:val="none" w:sz="0" w:space="0" w:color="auto"/>
      </w:divBdr>
    </w:div>
    <w:div w:id="20407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docbox.etsi.org/board/2021_Board/2021_12_02_OR_BOARD%23135/BOARD(21)135_012_New_Mode_5_for_joint_technical_work_between_ETSI_and_CEN_and.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tandards.cencenelec.eu/dyn/www/f?p=205:7:0::::FSP_ORG_ID:855949&amp;cs=1E4D1604D14C923D402E4962C66AD84D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webapp/AgreementView/AgreementDetail.asp?AgrID=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Graphic%20Bible\GB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difiedby xmlns="ceec14dd-0943-441c-82a6-590875f5264e">
      <UserInfo>
        <DisplayName/>
        <AccountId xsi:nil="true"/>
        <AccountType/>
      </UserInfo>
    </Modifiedby>
    <TaxCatchAll xmlns="4d080209-f468-4021-ab62-2332ee302ede" xsi:nil="true"/>
    <lcf76f155ced4ddcb4097134ff3c332f xmlns="ceec14dd-0943-441c-82a6-590875f526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69189ABC708B42A55EEB59F874FE96" ma:contentTypeVersion="19" ma:contentTypeDescription="Create a new document." ma:contentTypeScope="" ma:versionID="e49b7f81e6d314f41c279b738444c573">
  <xsd:schema xmlns:xsd="http://www.w3.org/2001/XMLSchema" xmlns:xs="http://www.w3.org/2001/XMLSchema" xmlns:p="http://schemas.microsoft.com/office/2006/metadata/properties" xmlns:ns2="ceec14dd-0943-441c-82a6-590875f5264e" xmlns:ns3="4d080209-f468-4021-ab62-2332ee302ede" targetNamespace="http://schemas.microsoft.com/office/2006/metadata/properties" ma:root="true" ma:fieldsID="1bc7bc71dd1988d126609a4ecd87f431" ns2:_="" ns3:_="">
    <xsd:import namespace="ceec14dd-0943-441c-82a6-590875f5264e"/>
    <xsd:import namespace="4d080209-f468-4021-ab62-2332ee302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odified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c14dd-0943-441c-82a6-590875f52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odifiedby" ma:index="19" nillable="true" ma:displayName="Owner" ma:description="Person who modified content in folder" ma:format="Dropdown" ma:list="UserInfo" ma:SharePointGroup="0" ma:internalName="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080209-f468-4021-ab62-2332ee302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059a-018f-4788-a5b4-6b0bcd575d98}" ma:internalName="TaxCatchAll" ma:showField="CatchAllData" ma:web="4d080209-f468-4021-ab62-2332ee302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D2E4F-27F3-4E46-BB5A-E5E189A46005}">
  <ds:schemaRefs>
    <ds:schemaRef ds:uri="http://schemas.openxmlformats.org/officeDocument/2006/bibliography"/>
  </ds:schemaRefs>
</ds:datastoreItem>
</file>

<file path=customXml/itemProps2.xml><?xml version="1.0" encoding="utf-8"?>
<ds:datastoreItem xmlns:ds="http://schemas.openxmlformats.org/officeDocument/2006/customXml" ds:itemID="{C0C2691A-FDE9-4BC6-8764-72CFE0E82992}">
  <ds:schemaRefs>
    <ds:schemaRef ds:uri="http://schemas.microsoft.com/sharepoint/v3/contenttype/forms"/>
  </ds:schemaRefs>
</ds:datastoreItem>
</file>

<file path=customXml/itemProps3.xml><?xml version="1.0" encoding="utf-8"?>
<ds:datastoreItem xmlns:ds="http://schemas.openxmlformats.org/officeDocument/2006/customXml" ds:itemID="{94363932-1FBA-4991-8AB4-DD0306646FA1}">
  <ds:schemaRefs>
    <ds:schemaRef ds:uri="http://schemas.microsoft.com/office/2006/metadata/properties"/>
    <ds:schemaRef ds:uri="http://schemas.microsoft.com/office/infopath/2007/PartnerControls"/>
    <ds:schemaRef ds:uri="ceec14dd-0943-441c-82a6-590875f5264e"/>
    <ds:schemaRef ds:uri="4d080209-f468-4021-ab62-2332ee302ede"/>
  </ds:schemaRefs>
</ds:datastoreItem>
</file>

<file path=customXml/itemProps4.xml><?xml version="1.0" encoding="utf-8"?>
<ds:datastoreItem xmlns:ds="http://schemas.openxmlformats.org/officeDocument/2006/customXml" ds:itemID="{54381A9F-A3B3-486D-9ED1-45FD95E8D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c14dd-0943-441c-82a6-590875f5264e"/>
    <ds:schemaRef ds:uri="4d080209-f468-4021-ab62-2332ee302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GB_Styles.dot</Template>
  <TotalTime>9</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ETSI/BOARD(19)125_0XX - Word template</vt:lpstr>
    </vt:vector>
  </TitlesOfParts>
  <Company>ETSI</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ETSI/BOARD(19)125_0XX - Word template</dc:title>
  <dc:subject/>
  <dc:creator>ETSI Director-General</dc:creator>
  <cp:keywords/>
  <cp:lastModifiedBy>Helene Schmidt</cp:lastModifiedBy>
  <cp:revision>9</cp:revision>
  <cp:lastPrinted>2005-05-20T07:45:00Z</cp:lastPrinted>
  <dcterms:created xsi:type="dcterms:W3CDTF">2022-08-10T08:33:00Z</dcterms:created>
  <dcterms:modified xsi:type="dcterms:W3CDTF">2022-08-12T06:32:00Z</dcterms:modified>
  <cp:category>Word 2000/Word XP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0x010100C169189ABC708B42A55EEB59F874FE96</vt:lpwstr>
  </property>
  <property fmtid="{D5CDD505-2E9C-101B-9397-08002B2CF9AE}" pid="3" name="MediaServiceImageTags">
    <vt:lpwstr/>
  </property>
</Properties>
</file>