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A4F0" w14:textId="2BD4B0FB" w:rsidR="00091264" w:rsidRPr="00CC2793" w:rsidRDefault="00091264" w:rsidP="00091264">
      <w:pPr>
        <w:pBdr>
          <w:top w:val="single" w:sz="4" w:space="1" w:color="auto"/>
          <w:left w:val="single" w:sz="4" w:space="31" w:color="auto"/>
          <w:bottom w:val="single" w:sz="4" w:space="1" w:color="auto"/>
          <w:right w:val="single" w:sz="4" w:space="27" w:color="auto"/>
        </w:pBdr>
        <w:ind w:left="1418" w:right="1133"/>
        <w:jc w:val="center"/>
        <w:rPr>
          <w:rFonts w:ascii="Arial" w:hAnsi="Arial" w:cs="Arial"/>
          <w:b/>
          <w:sz w:val="28"/>
          <w:szCs w:val="28"/>
          <w:lang w:val="en-GB"/>
        </w:rPr>
      </w:pPr>
      <w:bookmarkStart w:id="0" w:name="MeetingReference"/>
      <w:r w:rsidRPr="00CC2793">
        <w:rPr>
          <w:rFonts w:ascii="Arial" w:hAnsi="Arial" w:cs="Arial"/>
          <w:b/>
          <w:sz w:val="28"/>
          <w:szCs w:val="28"/>
          <w:lang w:val="en-GB"/>
        </w:rPr>
        <w:t>GA#</w:t>
      </w:r>
      <w:bookmarkEnd w:id="0"/>
      <w:r w:rsidR="00CC4A8A" w:rsidRPr="00CC2793">
        <w:rPr>
          <w:rFonts w:ascii="Arial" w:hAnsi="Arial" w:cs="Arial"/>
          <w:b/>
          <w:sz w:val="28"/>
          <w:szCs w:val="28"/>
          <w:lang w:val="en-GB"/>
        </w:rPr>
        <w:t>7</w:t>
      </w:r>
      <w:r w:rsidR="000E0977" w:rsidRPr="00CC2793">
        <w:rPr>
          <w:rFonts w:ascii="Arial" w:hAnsi="Arial" w:cs="Arial"/>
          <w:b/>
          <w:sz w:val="28"/>
          <w:szCs w:val="28"/>
          <w:lang w:val="en-GB"/>
        </w:rPr>
        <w:t>9</w:t>
      </w:r>
      <w:r w:rsidRPr="00CC2793">
        <w:rPr>
          <w:rFonts w:ascii="Arial" w:hAnsi="Arial" w:cs="Arial"/>
          <w:b/>
          <w:sz w:val="28"/>
          <w:szCs w:val="28"/>
          <w:lang w:val="en-GB"/>
        </w:rPr>
        <w:t xml:space="preserve"> </w:t>
      </w:r>
      <w:r w:rsidR="002D730F" w:rsidRPr="00CC2793">
        <w:rPr>
          <w:rFonts w:ascii="Arial" w:hAnsi="Arial" w:cs="Arial"/>
          <w:b/>
          <w:sz w:val="28"/>
          <w:szCs w:val="28"/>
          <w:lang w:val="en-GB"/>
        </w:rPr>
        <w:t xml:space="preserve">ordinary </w:t>
      </w:r>
      <w:r w:rsidRPr="00CC2793">
        <w:rPr>
          <w:rFonts w:ascii="Arial" w:hAnsi="Arial" w:cs="Arial"/>
          <w:b/>
          <w:sz w:val="28"/>
          <w:szCs w:val="28"/>
          <w:lang w:val="en-GB"/>
        </w:rPr>
        <w:t>meeting</w:t>
      </w:r>
      <w:r w:rsidR="00752647">
        <w:rPr>
          <w:rFonts w:ascii="Arial" w:hAnsi="Arial" w:cs="Arial"/>
          <w:b/>
          <w:sz w:val="28"/>
          <w:szCs w:val="28"/>
          <w:lang w:val="en-GB"/>
        </w:rPr>
        <w:t xml:space="preserve"> of the </w:t>
      </w:r>
      <w:r w:rsidR="00752647" w:rsidRPr="00CC2793">
        <w:rPr>
          <w:rFonts w:ascii="Arial" w:hAnsi="Arial" w:cs="Arial"/>
          <w:b/>
          <w:sz w:val="28"/>
          <w:szCs w:val="28"/>
          <w:lang w:val="en-GB"/>
        </w:rPr>
        <w:t>ETSI</w:t>
      </w:r>
      <w:r w:rsidR="00752647">
        <w:rPr>
          <w:rFonts w:ascii="Arial" w:hAnsi="Arial" w:cs="Arial"/>
          <w:b/>
          <w:sz w:val="28"/>
          <w:szCs w:val="28"/>
          <w:lang w:val="en-GB"/>
        </w:rPr>
        <w:t xml:space="preserve"> General Assembly</w:t>
      </w:r>
    </w:p>
    <w:p w14:paraId="0B8455F8" w14:textId="7A440176" w:rsidR="00091264" w:rsidRPr="00CC2793" w:rsidRDefault="008414C0" w:rsidP="00091264">
      <w:pPr>
        <w:pBdr>
          <w:top w:val="single" w:sz="4" w:space="1" w:color="auto"/>
          <w:left w:val="single" w:sz="4" w:space="31" w:color="auto"/>
          <w:bottom w:val="single" w:sz="4" w:space="1" w:color="auto"/>
          <w:right w:val="single" w:sz="4" w:space="27" w:color="auto"/>
        </w:pBdr>
        <w:ind w:left="1418" w:right="1133"/>
        <w:jc w:val="center"/>
        <w:rPr>
          <w:rFonts w:ascii="Arial" w:hAnsi="Arial" w:cs="Arial"/>
          <w:b/>
          <w:sz w:val="28"/>
          <w:szCs w:val="28"/>
          <w:lang w:val="en-GB"/>
        </w:rPr>
      </w:pPr>
      <w:r w:rsidRPr="00CC2793">
        <w:rPr>
          <w:rFonts w:ascii="Arial" w:hAnsi="Arial" w:cs="Arial"/>
          <w:b/>
          <w:sz w:val="28"/>
          <w:szCs w:val="28"/>
          <w:lang w:val="en-GB"/>
        </w:rPr>
        <w:t>29</w:t>
      </w:r>
      <w:r w:rsidR="00CC4A8A" w:rsidRPr="00CC2793">
        <w:rPr>
          <w:rFonts w:ascii="Arial" w:hAnsi="Arial" w:cs="Arial"/>
          <w:b/>
          <w:sz w:val="28"/>
          <w:szCs w:val="28"/>
          <w:lang w:val="en-GB"/>
        </w:rPr>
        <w:t xml:space="preserve"> </w:t>
      </w:r>
      <w:r w:rsidR="006F7F3D" w:rsidRPr="00CC2793">
        <w:rPr>
          <w:rFonts w:ascii="Arial" w:hAnsi="Arial" w:cs="Arial"/>
          <w:b/>
          <w:sz w:val="28"/>
          <w:szCs w:val="28"/>
          <w:lang w:val="en-GB"/>
        </w:rPr>
        <w:t xml:space="preserve">– </w:t>
      </w:r>
      <w:r w:rsidRPr="00CC2793">
        <w:rPr>
          <w:rFonts w:ascii="Arial" w:hAnsi="Arial" w:cs="Arial"/>
          <w:b/>
          <w:sz w:val="28"/>
          <w:szCs w:val="28"/>
          <w:lang w:val="en-GB"/>
        </w:rPr>
        <w:t>30</w:t>
      </w:r>
      <w:r w:rsidR="00CC4A8A" w:rsidRPr="00CC2793">
        <w:rPr>
          <w:rFonts w:ascii="Arial" w:hAnsi="Arial" w:cs="Arial"/>
          <w:b/>
          <w:sz w:val="28"/>
          <w:szCs w:val="28"/>
          <w:lang w:val="en-GB"/>
        </w:rPr>
        <w:t xml:space="preserve"> </w:t>
      </w:r>
      <w:r w:rsidRPr="00CC2793">
        <w:rPr>
          <w:rFonts w:ascii="Arial" w:hAnsi="Arial" w:cs="Arial"/>
          <w:b/>
          <w:sz w:val="28"/>
          <w:szCs w:val="28"/>
          <w:lang w:val="en-GB"/>
        </w:rPr>
        <w:t>March</w:t>
      </w:r>
      <w:r w:rsidR="00CC4A8A" w:rsidRPr="00CC2793">
        <w:rPr>
          <w:rFonts w:ascii="Arial" w:hAnsi="Arial" w:cs="Arial"/>
          <w:b/>
          <w:sz w:val="28"/>
          <w:szCs w:val="28"/>
          <w:lang w:val="en-GB"/>
        </w:rPr>
        <w:t xml:space="preserve"> 202</w:t>
      </w:r>
      <w:r w:rsidRPr="00CC2793">
        <w:rPr>
          <w:rFonts w:ascii="Arial" w:hAnsi="Arial" w:cs="Arial"/>
          <w:b/>
          <w:sz w:val="28"/>
          <w:szCs w:val="28"/>
          <w:lang w:val="en-GB"/>
        </w:rPr>
        <w:t>2</w:t>
      </w:r>
    </w:p>
    <w:p w14:paraId="6EE2C935" w14:textId="77777777" w:rsidR="0044732C" w:rsidRPr="00CC2793" w:rsidRDefault="0044732C">
      <w:pPr>
        <w:rPr>
          <w:rFonts w:ascii="Arial" w:hAnsi="Arial" w:cs="Arial"/>
          <w:lang w:val="en-GB"/>
        </w:rPr>
      </w:pPr>
    </w:p>
    <w:p w14:paraId="0D4DE65A" w14:textId="26611551" w:rsidR="0044732C" w:rsidRPr="00CC2793" w:rsidRDefault="0044732C" w:rsidP="00987FA6">
      <w:pPr>
        <w:tabs>
          <w:tab w:val="left" w:pos="1701"/>
        </w:tabs>
        <w:ind w:left="1700" w:hanging="1700"/>
        <w:rPr>
          <w:rFonts w:ascii="Arial" w:hAnsi="Arial" w:cs="Arial"/>
          <w:b/>
          <w:lang w:val="en-GB"/>
        </w:rPr>
      </w:pPr>
      <w:r w:rsidRPr="00CC2793">
        <w:rPr>
          <w:rFonts w:ascii="Arial" w:hAnsi="Arial" w:cs="Arial"/>
          <w:b/>
          <w:lang w:val="en-GB"/>
        </w:rPr>
        <w:t>Source:</w:t>
      </w:r>
      <w:r w:rsidRPr="00CC2793">
        <w:rPr>
          <w:rFonts w:ascii="Arial" w:hAnsi="Arial" w:cs="Arial"/>
          <w:b/>
          <w:lang w:val="en-GB"/>
        </w:rPr>
        <w:tab/>
      </w:r>
      <w:r w:rsidR="000A2ED9" w:rsidRPr="00CC2793">
        <w:rPr>
          <w:rFonts w:ascii="Arial" w:hAnsi="Arial" w:cs="Arial"/>
          <w:b/>
          <w:lang w:val="en-GB"/>
        </w:rPr>
        <w:t>ANEC, ECOS, ETUC, SBS</w:t>
      </w:r>
    </w:p>
    <w:p w14:paraId="008AB3FC" w14:textId="77777777" w:rsidR="0044732C" w:rsidRPr="00CC2793" w:rsidRDefault="0044732C">
      <w:pPr>
        <w:tabs>
          <w:tab w:val="left" w:pos="1701"/>
        </w:tabs>
        <w:rPr>
          <w:rFonts w:ascii="Arial" w:hAnsi="Arial" w:cs="Arial"/>
          <w:lang w:val="en-GB"/>
        </w:rPr>
      </w:pPr>
    </w:p>
    <w:p w14:paraId="6427813E" w14:textId="0002FD2B" w:rsidR="0044732C" w:rsidRPr="00CC2793" w:rsidRDefault="0044732C">
      <w:pPr>
        <w:tabs>
          <w:tab w:val="left" w:pos="1701"/>
        </w:tabs>
        <w:ind w:left="1701" w:hanging="1701"/>
        <w:rPr>
          <w:rFonts w:ascii="Arial" w:hAnsi="Arial" w:cs="Arial"/>
          <w:b/>
          <w:lang w:val="en-GB"/>
        </w:rPr>
      </w:pPr>
      <w:r w:rsidRPr="00CC2793">
        <w:rPr>
          <w:rFonts w:ascii="Arial" w:hAnsi="Arial" w:cs="Arial"/>
          <w:b/>
          <w:lang w:val="en-GB"/>
        </w:rPr>
        <w:t>Title:</w:t>
      </w:r>
      <w:r w:rsidRPr="00CC2793">
        <w:rPr>
          <w:rFonts w:ascii="Arial" w:hAnsi="Arial" w:cs="Arial"/>
          <w:b/>
          <w:lang w:val="en-GB"/>
        </w:rPr>
        <w:tab/>
      </w:r>
      <w:r w:rsidR="004F17E4">
        <w:rPr>
          <w:rFonts w:ascii="Arial" w:hAnsi="Arial" w:cs="Arial"/>
          <w:b/>
          <w:lang w:val="en-GB"/>
        </w:rPr>
        <w:t xml:space="preserve">Deepening ETSI’s </w:t>
      </w:r>
      <w:r w:rsidR="000A2ED9" w:rsidRPr="00CC2793">
        <w:rPr>
          <w:rFonts w:ascii="Arial" w:hAnsi="Arial" w:cs="Arial"/>
          <w:b/>
          <w:lang w:val="en-GB"/>
        </w:rPr>
        <w:t>inclusive</w:t>
      </w:r>
      <w:r w:rsidR="004F17E4">
        <w:rPr>
          <w:rFonts w:ascii="Arial" w:hAnsi="Arial" w:cs="Arial"/>
          <w:b/>
          <w:lang w:val="en-GB"/>
        </w:rPr>
        <w:t>ness</w:t>
      </w:r>
    </w:p>
    <w:p w14:paraId="5A96184A" w14:textId="77777777" w:rsidR="0044732C" w:rsidRPr="00CC2793" w:rsidRDefault="0044732C">
      <w:pPr>
        <w:tabs>
          <w:tab w:val="left" w:pos="1701"/>
        </w:tabs>
        <w:rPr>
          <w:rFonts w:ascii="Arial" w:hAnsi="Arial" w:cs="Arial"/>
          <w:lang w:val="en-GB"/>
        </w:rPr>
      </w:pPr>
    </w:p>
    <w:p w14:paraId="4B2EC259" w14:textId="0D57D6B0" w:rsidR="0044732C" w:rsidRPr="00CC2793" w:rsidRDefault="0044732C" w:rsidP="00987FA6">
      <w:pPr>
        <w:tabs>
          <w:tab w:val="left" w:pos="1701"/>
        </w:tabs>
        <w:ind w:left="1700" w:hanging="1700"/>
        <w:rPr>
          <w:rFonts w:ascii="Arial" w:hAnsi="Arial" w:cs="Arial"/>
          <w:b/>
          <w:lang w:val="en-GB"/>
        </w:rPr>
      </w:pPr>
      <w:r w:rsidRPr="00CC2793">
        <w:rPr>
          <w:rFonts w:ascii="Arial" w:hAnsi="Arial" w:cs="Arial"/>
          <w:b/>
          <w:lang w:val="en-GB"/>
        </w:rPr>
        <w:t>Agenda item:</w:t>
      </w:r>
      <w:r w:rsidRPr="00CC2793">
        <w:rPr>
          <w:rFonts w:ascii="Arial" w:hAnsi="Arial" w:cs="Arial"/>
          <w:b/>
          <w:lang w:val="en-GB"/>
        </w:rPr>
        <w:tab/>
      </w:r>
      <w:r w:rsidR="000A2ED9" w:rsidRPr="00CC2793">
        <w:rPr>
          <w:rFonts w:ascii="Arial" w:hAnsi="Arial" w:cs="Arial"/>
          <w:b/>
          <w:lang w:val="en-GB"/>
        </w:rPr>
        <w:t>1</w:t>
      </w:r>
      <w:r w:rsidR="00FA2BDA">
        <w:rPr>
          <w:rFonts w:ascii="Arial" w:hAnsi="Arial" w:cs="Arial"/>
          <w:b/>
          <w:lang w:val="en-GB"/>
        </w:rPr>
        <w:t>0</w:t>
      </w:r>
      <w:r w:rsidR="000A2ED9" w:rsidRPr="00CC2793">
        <w:rPr>
          <w:rFonts w:ascii="Arial" w:hAnsi="Arial" w:cs="Arial"/>
          <w:b/>
          <w:lang w:val="en-GB"/>
        </w:rPr>
        <w:t>.</w:t>
      </w:r>
      <w:r w:rsidR="00FA2BDA">
        <w:rPr>
          <w:rFonts w:ascii="Arial" w:hAnsi="Arial" w:cs="Arial"/>
          <w:b/>
          <w:lang w:val="en-GB"/>
        </w:rPr>
        <w:t>2</w:t>
      </w:r>
    </w:p>
    <w:p w14:paraId="5BE2A6A6" w14:textId="77777777" w:rsidR="0044732C" w:rsidRPr="00CC2793" w:rsidRDefault="0044732C">
      <w:pPr>
        <w:tabs>
          <w:tab w:val="left" w:pos="1701"/>
        </w:tabs>
        <w:rPr>
          <w:rFonts w:ascii="Arial" w:hAnsi="Arial" w:cs="Arial"/>
          <w:lang w:val="en-GB"/>
        </w:rPr>
      </w:pPr>
    </w:p>
    <w:tbl>
      <w:tblPr>
        <w:tblpPr w:leftFromText="180" w:rightFromText="180" w:vertAnchor="text" w:horzAnchor="page" w:tblpX="3458"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4"/>
      </w:tblGrid>
      <w:tr w:rsidR="0044732C" w:rsidRPr="00CC2793" w14:paraId="6DCE34ED" w14:textId="77777777" w:rsidTr="00D057F0">
        <w:tc>
          <w:tcPr>
            <w:tcW w:w="1417" w:type="dxa"/>
          </w:tcPr>
          <w:p w14:paraId="212011BD" w14:textId="77777777" w:rsidR="0044732C" w:rsidRPr="00CC2793" w:rsidRDefault="0044732C">
            <w:pPr>
              <w:tabs>
                <w:tab w:val="left" w:pos="1701"/>
              </w:tabs>
              <w:rPr>
                <w:rFonts w:ascii="Arial" w:hAnsi="Arial" w:cs="Arial"/>
                <w:lang w:val="en-GB"/>
              </w:rPr>
            </w:pPr>
            <w:r w:rsidRPr="00CC2793">
              <w:rPr>
                <w:rFonts w:ascii="Arial" w:hAnsi="Arial" w:cs="Arial"/>
                <w:lang w:val="en-GB"/>
              </w:rPr>
              <w:t>Decision</w:t>
            </w:r>
          </w:p>
        </w:tc>
        <w:tc>
          <w:tcPr>
            <w:tcW w:w="534" w:type="dxa"/>
            <w:shd w:val="clear" w:color="auto" w:fill="auto"/>
          </w:tcPr>
          <w:p w14:paraId="6655348F" w14:textId="47574575" w:rsidR="0044732C" w:rsidRPr="00CC2793" w:rsidRDefault="0044732C" w:rsidP="006F7F3D">
            <w:pPr>
              <w:tabs>
                <w:tab w:val="left" w:pos="1701"/>
              </w:tabs>
              <w:jc w:val="center"/>
              <w:rPr>
                <w:rFonts w:ascii="Arial" w:hAnsi="Arial" w:cs="Arial"/>
                <w:b/>
                <w:highlight w:val="yellow"/>
                <w:lang w:val="en-GB"/>
              </w:rPr>
            </w:pPr>
            <w:bookmarkStart w:id="1" w:name="DocumentFor"/>
            <w:bookmarkEnd w:id="1"/>
          </w:p>
        </w:tc>
      </w:tr>
      <w:tr w:rsidR="0044732C" w:rsidRPr="00CC2793" w14:paraId="2F461F49" w14:textId="77777777">
        <w:tc>
          <w:tcPr>
            <w:tcW w:w="1417" w:type="dxa"/>
          </w:tcPr>
          <w:p w14:paraId="1AD16648" w14:textId="77777777" w:rsidR="0044732C" w:rsidRPr="00CC2793" w:rsidRDefault="0044732C">
            <w:pPr>
              <w:tabs>
                <w:tab w:val="left" w:pos="1701"/>
              </w:tabs>
              <w:rPr>
                <w:rFonts w:ascii="Arial" w:hAnsi="Arial" w:cs="Arial"/>
                <w:lang w:val="en-GB"/>
              </w:rPr>
            </w:pPr>
            <w:r w:rsidRPr="00CC2793">
              <w:rPr>
                <w:rFonts w:ascii="Arial" w:hAnsi="Arial" w:cs="Arial"/>
                <w:lang w:val="en-GB"/>
              </w:rPr>
              <w:t>Discussion</w:t>
            </w:r>
          </w:p>
        </w:tc>
        <w:tc>
          <w:tcPr>
            <w:tcW w:w="534" w:type="dxa"/>
          </w:tcPr>
          <w:p w14:paraId="6E4D8722" w14:textId="7A10773C" w:rsidR="0044732C" w:rsidRPr="00CC2793" w:rsidRDefault="000A2ED9" w:rsidP="006F7F3D">
            <w:pPr>
              <w:tabs>
                <w:tab w:val="left" w:pos="1701"/>
              </w:tabs>
              <w:jc w:val="center"/>
              <w:rPr>
                <w:rFonts w:ascii="Arial" w:hAnsi="Arial" w:cs="Arial"/>
                <w:b/>
                <w:highlight w:val="yellow"/>
                <w:lang w:val="en-GB"/>
              </w:rPr>
            </w:pPr>
            <w:r w:rsidRPr="00CC2793">
              <w:rPr>
                <w:rFonts w:ascii="Arial" w:hAnsi="Arial" w:cs="Arial"/>
                <w:b/>
                <w:color w:val="000000" w:themeColor="text1"/>
                <w:lang w:val="en-GB"/>
              </w:rPr>
              <w:t>X</w:t>
            </w:r>
          </w:p>
        </w:tc>
      </w:tr>
      <w:tr w:rsidR="0044732C" w:rsidRPr="00CC2793" w14:paraId="24EBD599" w14:textId="77777777">
        <w:tc>
          <w:tcPr>
            <w:tcW w:w="1417" w:type="dxa"/>
          </w:tcPr>
          <w:p w14:paraId="302AF7C8" w14:textId="77777777" w:rsidR="0044732C" w:rsidRPr="00CC2793" w:rsidRDefault="0044732C">
            <w:pPr>
              <w:tabs>
                <w:tab w:val="left" w:pos="1701"/>
              </w:tabs>
              <w:rPr>
                <w:rFonts w:ascii="Arial" w:hAnsi="Arial" w:cs="Arial"/>
                <w:lang w:val="en-GB"/>
              </w:rPr>
            </w:pPr>
            <w:r w:rsidRPr="00CC2793">
              <w:rPr>
                <w:rFonts w:ascii="Arial" w:hAnsi="Arial" w:cs="Arial"/>
                <w:lang w:val="en-GB"/>
              </w:rPr>
              <w:t>Information</w:t>
            </w:r>
          </w:p>
        </w:tc>
        <w:tc>
          <w:tcPr>
            <w:tcW w:w="534" w:type="dxa"/>
          </w:tcPr>
          <w:p w14:paraId="7B707956" w14:textId="5A1FDF25" w:rsidR="0044732C" w:rsidRPr="00CC2793" w:rsidRDefault="0044732C" w:rsidP="006F7F3D">
            <w:pPr>
              <w:tabs>
                <w:tab w:val="left" w:pos="1701"/>
              </w:tabs>
              <w:jc w:val="center"/>
              <w:rPr>
                <w:rFonts w:ascii="Arial" w:hAnsi="Arial" w:cs="Arial"/>
                <w:b/>
                <w:highlight w:val="yellow"/>
                <w:lang w:val="en-GB"/>
              </w:rPr>
            </w:pPr>
          </w:p>
        </w:tc>
      </w:tr>
    </w:tbl>
    <w:p w14:paraId="066E2414" w14:textId="77777777" w:rsidR="009858DB" w:rsidRPr="00CC2793" w:rsidRDefault="009858DB" w:rsidP="009858DB">
      <w:pPr>
        <w:rPr>
          <w:rFonts w:ascii="Arial" w:hAnsi="Arial" w:cs="Arial"/>
          <w:vanish/>
          <w:lang w:val="en-GB"/>
        </w:rPr>
      </w:pPr>
    </w:p>
    <w:tbl>
      <w:tblPr>
        <w:tblpPr w:leftFromText="181" w:rightFromText="181" w:vertAnchor="text" w:horzAnchor="page" w:tblpX="6442"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67"/>
      </w:tblGrid>
      <w:tr w:rsidR="0044732C" w:rsidRPr="00CC2793" w14:paraId="27A239F3" w14:textId="77777777">
        <w:tc>
          <w:tcPr>
            <w:tcW w:w="1951" w:type="dxa"/>
          </w:tcPr>
          <w:p w14:paraId="4A6AD068" w14:textId="77777777" w:rsidR="0044732C" w:rsidRPr="00CC2793" w:rsidRDefault="0044732C">
            <w:pPr>
              <w:tabs>
                <w:tab w:val="left" w:pos="1701"/>
              </w:tabs>
              <w:rPr>
                <w:rFonts w:ascii="Arial" w:hAnsi="Arial" w:cs="Arial"/>
                <w:lang w:val="en-GB"/>
              </w:rPr>
            </w:pPr>
            <w:r w:rsidRPr="00CC2793">
              <w:rPr>
                <w:rFonts w:ascii="Arial" w:hAnsi="Arial" w:cs="Arial"/>
                <w:lang w:val="en-GB"/>
              </w:rPr>
              <w:t>Late submission</w:t>
            </w:r>
          </w:p>
        </w:tc>
        <w:tc>
          <w:tcPr>
            <w:tcW w:w="567" w:type="dxa"/>
          </w:tcPr>
          <w:p w14:paraId="7ECA0802" w14:textId="3AF32067" w:rsidR="0044732C" w:rsidRPr="00CC2793" w:rsidRDefault="00752647" w:rsidP="00BA7DDC">
            <w:pPr>
              <w:tabs>
                <w:tab w:val="left" w:pos="1701"/>
              </w:tabs>
              <w:jc w:val="center"/>
              <w:rPr>
                <w:rFonts w:ascii="Arial" w:hAnsi="Arial" w:cs="Arial"/>
                <w:b/>
                <w:lang w:val="en-GB"/>
              </w:rPr>
            </w:pPr>
            <w:bookmarkStart w:id="2" w:name="LateSubmission"/>
            <w:bookmarkEnd w:id="2"/>
            <w:r w:rsidRPr="00CC2793">
              <w:rPr>
                <w:rFonts w:ascii="Arial" w:hAnsi="Arial" w:cs="Arial"/>
                <w:b/>
                <w:color w:val="000000" w:themeColor="text1"/>
                <w:lang w:val="en-GB"/>
              </w:rPr>
              <w:t>X</w:t>
            </w:r>
          </w:p>
        </w:tc>
      </w:tr>
    </w:tbl>
    <w:p w14:paraId="1595F79F" w14:textId="77777777" w:rsidR="0044732C" w:rsidRPr="00CC2793" w:rsidRDefault="0044732C">
      <w:pPr>
        <w:tabs>
          <w:tab w:val="left" w:pos="1701"/>
        </w:tabs>
        <w:rPr>
          <w:rFonts w:ascii="Arial" w:hAnsi="Arial" w:cs="Arial"/>
          <w:lang w:val="en-GB"/>
        </w:rPr>
      </w:pPr>
      <w:r w:rsidRPr="00CC2793">
        <w:rPr>
          <w:rFonts w:ascii="Arial" w:hAnsi="Arial" w:cs="Arial"/>
          <w:b/>
          <w:lang w:val="en-GB"/>
        </w:rPr>
        <w:t>Document for:</w:t>
      </w:r>
      <w:r w:rsidRPr="00CC2793">
        <w:rPr>
          <w:rFonts w:ascii="Arial" w:hAnsi="Arial" w:cs="Arial"/>
          <w:lang w:val="en-GB"/>
        </w:rPr>
        <w:tab/>
      </w:r>
    </w:p>
    <w:p w14:paraId="35494828" w14:textId="77777777" w:rsidR="0044732C" w:rsidRPr="00CC2793" w:rsidRDefault="0044732C">
      <w:pPr>
        <w:tabs>
          <w:tab w:val="left" w:pos="1701"/>
        </w:tabs>
        <w:rPr>
          <w:rFonts w:ascii="Arial" w:hAnsi="Arial" w:cs="Arial"/>
          <w:lang w:val="en-GB"/>
        </w:rPr>
      </w:pPr>
    </w:p>
    <w:p w14:paraId="5762059D" w14:textId="77777777" w:rsidR="0044732C" w:rsidRPr="00CC2793" w:rsidRDefault="0044732C">
      <w:pPr>
        <w:tabs>
          <w:tab w:val="left" w:pos="1701"/>
        </w:tabs>
        <w:rPr>
          <w:rFonts w:ascii="Arial" w:hAnsi="Arial" w:cs="Arial"/>
          <w:lang w:val="en-GB"/>
        </w:rPr>
      </w:pPr>
    </w:p>
    <w:p w14:paraId="667E4521" w14:textId="77777777" w:rsidR="0044732C" w:rsidRPr="00CC2793" w:rsidRDefault="0044732C">
      <w:pPr>
        <w:rPr>
          <w:rFonts w:ascii="Arial" w:hAnsi="Arial" w:cs="Arial"/>
          <w:lang w:val="en-GB"/>
        </w:rPr>
        <w:sectPr w:rsidR="0044732C" w:rsidRPr="00CC2793">
          <w:headerReference w:type="default" r:id="rId11"/>
          <w:headerReference w:type="first" r:id="rId12"/>
          <w:footerReference w:type="first" r:id="rId13"/>
          <w:pgSz w:w="11907" w:h="16840"/>
          <w:pgMar w:top="2268" w:right="1417" w:bottom="1701" w:left="1417" w:header="720" w:footer="720" w:gutter="0"/>
          <w:paperSrc w:first="15" w:other="15"/>
          <w:cols w:space="720"/>
          <w:titlePg/>
          <w:docGrid w:linePitch="272"/>
        </w:sectPr>
      </w:pPr>
    </w:p>
    <w:p w14:paraId="152EEED0" w14:textId="77777777" w:rsidR="0044732C" w:rsidRPr="00CC2793" w:rsidRDefault="0044732C" w:rsidP="004E7FE5">
      <w:pPr>
        <w:rPr>
          <w:rFonts w:ascii="Arial" w:hAnsi="Arial" w:cs="Arial"/>
          <w:lang w:val="en-GB"/>
        </w:rPr>
      </w:pPr>
    </w:p>
    <w:p w14:paraId="58D7B916" w14:textId="77777777" w:rsidR="004E7FE5" w:rsidRPr="00CC2793" w:rsidRDefault="004E7FE5" w:rsidP="004E7FE5">
      <w:pPr>
        <w:rPr>
          <w:rFonts w:ascii="Arial" w:hAnsi="Arial" w:cs="Arial"/>
          <w:lang w:val="en-GB"/>
        </w:rPr>
      </w:pPr>
    </w:p>
    <w:p w14:paraId="66E45C67" w14:textId="77777777" w:rsidR="0044732C" w:rsidRPr="00CC2793" w:rsidRDefault="0044732C">
      <w:pPr>
        <w:pStyle w:val="Heading1"/>
        <w:rPr>
          <w:rFonts w:cs="Arial"/>
        </w:rPr>
      </w:pPr>
      <w:bookmarkStart w:id="3" w:name="Dear"/>
      <w:bookmarkEnd w:id="3"/>
      <w:r w:rsidRPr="00CC2793">
        <w:rPr>
          <w:rFonts w:cs="Arial"/>
        </w:rPr>
        <w:t>1</w:t>
      </w:r>
      <w:r w:rsidRPr="00CC2793">
        <w:rPr>
          <w:rFonts w:cs="Arial"/>
        </w:rPr>
        <w:tab/>
        <w:t>Decision/action requested</w:t>
      </w:r>
    </w:p>
    <w:p w14:paraId="2FE0CED1" w14:textId="5D402161" w:rsidR="0044732C" w:rsidRPr="00CC2793" w:rsidRDefault="00E263AF" w:rsidP="004E7FE5">
      <w:pPr>
        <w:pBdr>
          <w:top w:val="single" w:sz="4" w:space="1" w:color="auto"/>
          <w:left w:val="single" w:sz="4" w:space="4" w:color="auto"/>
          <w:bottom w:val="single" w:sz="4" w:space="1" w:color="auto"/>
          <w:right w:val="single" w:sz="4" w:space="4" w:color="auto"/>
        </w:pBdr>
        <w:jc w:val="center"/>
        <w:rPr>
          <w:rFonts w:ascii="Arial" w:hAnsi="Arial" w:cs="Arial"/>
          <w:lang w:val="en-GB"/>
        </w:rPr>
      </w:pPr>
      <w:r w:rsidRPr="00CC2793">
        <w:rPr>
          <w:rFonts w:ascii="Arial" w:hAnsi="Arial" w:cs="Arial"/>
          <w:b/>
          <w:i/>
          <w:lang w:val="en-GB"/>
        </w:rPr>
        <w:t xml:space="preserve">The GA is invited to consider the proposals </w:t>
      </w:r>
      <w:r w:rsidR="003425C3">
        <w:rPr>
          <w:rFonts w:ascii="Arial" w:hAnsi="Arial" w:cs="Arial"/>
          <w:b/>
          <w:i/>
          <w:lang w:val="en-GB"/>
        </w:rPr>
        <w:t xml:space="preserve">of the Annex III organisations </w:t>
      </w:r>
      <w:r w:rsidRPr="00CC2793">
        <w:rPr>
          <w:rFonts w:ascii="Arial" w:hAnsi="Arial" w:cs="Arial"/>
          <w:b/>
          <w:i/>
          <w:lang w:val="en-GB"/>
        </w:rPr>
        <w:t>below, and to request they be addressed in considering ETSI’s response to the EU standardisation strategy</w:t>
      </w:r>
    </w:p>
    <w:p w14:paraId="5E6AFE04" w14:textId="34B6AE06" w:rsidR="0044732C" w:rsidRPr="00CC2793" w:rsidRDefault="0044732C">
      <w:pPr>
        <w:rPr>
          <w:rFonts w:ascii="Arial" w:hAnsi="Arial" w:cs="Arial"/>
          <w:lang w:val="en-GB"/>
        </w:rPr>
      </w:pPr>
    </w:p>
    <w:p w14:paraId="5F3EFB90" w14:textId="77777777" w:rsidR="004C0CCD" w:rsidRPr="00CC2793" w:rsidRDefault="004C0CCD">
      <w:pPr>
        <w:rPr>
          <w:rFonts w:ascii="Arial" w:hAnsi="Arial" w:cs="Arial"/>
          <w:lang w:val="en-GB"/>
        </w:rPr>
      </w:pPr>
    </w:p>
    <w:p w14:paraId="499FD457" w14:textId="77777777" w:rsidR="0044732C" w:rsidRPr="00CC2793" w:rsidRDefault="0044732C">
      <w:pPr>
        <w:pStyle w:val="Heading1"/>
        <w:rPr>
          <w:rFonts w:cs="Arial"/>
        </w:rPr>
      </w:pPr>
      <w:r w:rsidRPr="00CC2793">
        <w:rPr>
          <w:rFonts w:cs="Arial"/>
        </w:rPr>
        <w:t>2</w:t>
      </w:r>
      <w:r w:rsidRPr="00CC2793">
        <w:rPr>
          <w:rFonts w:cs="Arial"/>
        </w:rPr>
        <w:tab/>
        <w:t>References</w:t>
      </w:r>
    </w:p>
    <w:p w14:paraId="4749BA4A" w14:textId="213CBCF8" w:rsidR="009E0280" w:rsidRPr="002741E5" w:rsidRDefault="00E34C81" w:rsidP="00DE3E0B">
      <w:pPr>
        <w:pStyle w:val="ListParagraph"/>
        <w:numPr>
          <w:ilvl w:val="0"/>
          <w:numId w:val="9"/>
        </w:numPr>
        <w:rPr>
          <w:rFonts w:ascii="Arial" w:hAnsi="Arial" w:cs="Arial"/>
          <w:lang w:val="en-GB"/>
        </w:rPr>
      </w:pPr>
      <w:r w:rsidRPr="002741E5">
        <w:rPr>
          <w:rFonts w:ascii="Arial" w:hAnsi="Arial" w:cs="Arial"/>
          <w:lang w:val="en-GB"/>
        </w:rPr>
        <w:t>ETSI/</w:t>
      </w:r>
      <w:proofErr w:type="gramStart"/>
      <w:r w:rsidRPr="002741E5">
        <w:rPr>
          <w:rFonts w:ascii="Arial" w:hAnsi="Arial" w:cs="Arial"/>
          <w:lang w:val="en-GB"/>
        </w:rPr>
        <w:t>BOARD(</w:t>
      </w:r>
      <w:proofErr w:type="gramEnd"/>
      <w:r w:rsidRPr="002741E5">
        <w:rPr>
          <w:rFonts w:ascii="Arial" w:hAnsi="Arial" w:cs="Arial"/>
          <w:lang w:val="en-GB"/>
        </w:rPr>
        <w:t>22)136Ad_008 – highlights of meeting between ETSI leadership and EC DG GROW</w:t>
      </w:r>
    </w:p>
    <w:p w14:paraId="27C41642" w14:textId="2896BBD1" w:rsidR="00E34C81" w:rsidRPr="002741E5" w:rsidRDefault="00E34C81" w:rsidP="004E7FE5">
      <w:pPr>
        <w:rPr>
          <w:rFonts w:ascii="Arial" w:hAnsi="Arial" w:cs="Arial"/>
          <w:lang w:val="en-GB"/>
        </w:rPr>
      </w:pPr>
    </w:p>
    <w:p w14:paraId="4CD00C6E" w14:textId="27454077" w:rsidR="00E34C81" w:rsidRPr="002741E5" w:rsidRDefault="00E34C81" w:rsidP="00DE3E0B">
      <w:pPr>
        <w:pStyle w:val="ListParagraph"/>
        <w:numPr>
          <w:ilvl w:val="0"/>
          <w:numId w:val="9"/>
        </w:numPr>
        <w:rPr>
          <w:rFonts w:ascii="Arial" w:hAnsi="Arial" w:cs="Arial"/>
          <w:lang w:val="en-US"/>
        </w:rPr>
      </w:pPr>
      <w:r w:rsidRPr="002741E5">
        <w:rPr>
          <w:rFonts w:ascii="Arial" w:hAnsi="Arial" w:cs="Arial"/>
          <w:lang w:val="en-US"/>
        </w:rPr>
        <w:t xml:space="preserve">An EU Strategy on </w:t>
      </w:r>
      <w:proofErr w:type="spellStart"/>
      <w:r w:rsidRPr="002741E5">
        <w:rPr>
          <w:rFonts w:ascii="Arial" w:hAnsi="Arial" w:cs="Arial"/>
          <w:lang w:val="en-US"/>
        </w:rPr>
        <w:t>Standardisation</w:t>
      </w:r>
      <w:proofErr w:type="spellEnd"/>
      <w:r w:rsidRPr="002741E5">
        <w:rPr>
          <w:rFonts w:ascii="Arial" w:hAnsi="Arial" w:cs="Arial"/>
          <w:lang w:val="en-US"/>
        </w:rPr>
        <w:t xml:space="preserve"> - Setting global standards in support of a resilient, green and digital EU single market</w:t>
      </w:r>
      <w:r w:rsidR="00DE3E0B" w:rsidRPr="002741E5">
        <w:rPr>
          <w:rFonts w:ascii="Arial" w:hAnsi="Arial" w:cs="Arial"/>
          <w:lang w:val="en-US"/>
        </w:rPr>
        <w:t xml:space="preserve"> </w:t>
      </w:r>
      <w:hyperlink r:id="rId14" w:history="1">
        <w:r w:rsidR="00DE3E0B" w:rsidRPr="002741E5">
          <w:rPr>
            <w:rStyle w:val="Hyperlink"/>
            <w:rFonts w:ascii="Arial" w:hAnsi="Arial" w:cs="Arial"/>
            <w:lang w:val="en-US"/>
          </w:rPr>
          <w:t>https://ec.europa.eu/docsroom/documents/48598?locale=en</w:t>
        </w:r>
      </w:hyperlink>
      <w:r w:rsidR="00DE3E0B" w:rsidRPr="002741E5">
        <w:rPr>
          <w:rFonts w:ascii="Arial" w:hAnsi="Arial" w:cs="Arial"/>
          <w:lang w:val="en-US"/>
        </w:rPr>
        <w:t xml:space="preserve"> </w:t>
      </w:r>
    </w:p>
    <w:p w14:paraId="404F8E5D" w14:textId="77777777" w:rsidR="00E34C81" w:rsidRPr="002741E5" w:rsidRDefault="00E34C81" w:rsidP="00E34C81">
      <w:pPr>
        <w:rPr>
          <w:rFonts w:ascii="Arial" w:hAnsi="Arial" w:cs="Arial"/>
          <w:lang w:val="en-US"/>
        </w:rPr>
      </w:pPr>
    </w:p>
    <w:p w14:paraId="0346170A" w14:textId="77777777" w:rsidR="00DE3E0B" w:rsidRPr="002741E5" w:rsidRDefault="00E34C81" w:rsidP="00DE3E0B">
      <w:pPr>
        <w:pStyle w:val="ListParagraph"/>
        <w:numPr>
          <w:ilvl w:val="0"/>
          <w:numId w:val="9"/>
        </w:numPr>
        <w:rPr>
          <w:rFonts w:ascii="Arial" w:hAnsi="Arial" w:cs="Arial"/>
          <w:lang w:val="en-US"/>
        </w:rPr>
      </w:pPr>
      <w:r w:rsidRPr="002741E5">
        <w:rPr>
          <w:rFonts w:ascii="Arial" w:hAnsi="Arial" w:cs="Arial"/>
          <w:lang w:val="en-US"/>
        </w:rPr>
        <w:t xml:space="preserve">Proposal for a Regulation amending Regulation (EU) No 1025/2012 as regards the decisions of European </w:t>
      </w:r>
      <w:proofErr w:type="spellStart"/>
      <w:r w:rsidRPr="002741E5">
        <w:rPr>
          <w:rFonts w:ascii="Arial" w:hAnsi="Arial" w:cs="Arial"/>
          <w:lang w:val="en-US"/>
        </w:rPr>
        <w:t>standardisation</w:t>
      </w:r>
      <w:proofErr w:type="spellEnd"/>
      <w:r w:rsidRPr="002741E5">
        <w:rPr>
          <w:rFonts w:ascii="Arial" w:hAnsi="Arial" w:cs="Arial"/>
          <w:lang w:val="en-US"/>
        </w:rPr>
        <w:t xml:space="preserve"> </w:t>
      </w:r>
      <w:proofErr w:type="spellStart"/>
      <w:r w:rsidRPr="002741E5">
        <w:rPr>
          <w:rFonts w:ascii="Arial" w:hAnsi="Arial" w:cs="Arial"/>
          <w:lang w:val="en-US"/>
        </w:rPr>
        <w:t>organisations</w:t>
      </w:r>
      <w:proofErr w:type="spellEnd"/>
      <w:r w:rsidRPr="002741E5">
        <w:rPr>
          <w:rFonts w:ascii="Arial" w:hAnsi="Arial" w:cs="Arial"/>
          <w:lang w:val="en-US"/>
        </w:rPr>
        <w:t xml:space="preserve"> concerning European standards and European </w:t>
      </w:r>
      <w:proofErr w:type="spellStart"/>
      <w:r w:rsidRPr="002741E5">
        <w:rPr>
          <w:rFonts w:ascii="Arial" w:hAnsi="Arial" w:cs="Arial"/>
          <w:lang w:val="en-US"/>
        </w:rPr>
        <w:t>standardisation</w:t>
      </w:r>
      <w:proofErr w:type="spellEnd"/>
      <w:r w:rsidRPr="002741E5">
        <w:rPr>
          <w:rFonts w:ascii="Arial" w:hAnsi="Arial" w:cs="Arial"/>
          <w:lang w:val="en-US"/>
        </w:rPr>
        <w:t xml:space="preserve"> deliverables</w:t>
      </w:r>
    </w:p>
    <w:p w14:paraId="6479B88B" w14:textId="4BDDD5F9" w:rsidR="00E34C81" w:rsidRPr="002741E5" w:rsidRDefault="00E82144" w:rsidP="00B729B1">
      <w:pPr>
        <w:pStyle w:val="ListParagraph"/>
        <w:rPr>
          <w:rFonts w:ascii="Arial" w:hAnsi="Arial" w:cs="Arial"/>
          <w:lang w:val="en-US"/>
        </w:rPr>
      </w:pPr>
      <w:hyperlink r:id="rId15" w:history="1">
        <w:r w:rsidR="00B729B1" w:rsidRPr="002741E5">
          <w:rPr>
            <w:rStyle w:val="Hyperlink"/>
            <w:rFonts w:ascii="Arial" w:hAnsi="Arial" w:cs="Arial"/>
            <w:lang w:val="en-US"/>
          </w:rPr>
          <w:t>https://ec.europa.eu/docsroom/documents/48599?locale=en</w:t>
        </w:r>
      </w:hyperlink>
      <w:r w:rsidR="00DE3E0B" w:rsidRPr="002741E5">
        <w:rPr>
          <w:rFonts w:ascii="Arial" w:hAnsi="Arial" w:cs="Arial"/>
          <w:lang w:val="en-US"/>
        </w:rPr>
        <w:t xml:space="preserve"> </w:t>
      </w:r>
    </w:p>
    <w:p w14:paraId="01D7321E" w14:textId="77777777" w:rsidR="00E34C81" w:rsidRPr="002741E5" w:rsidRDefault="00E34C81" w:rsidP="00E34C81">
      <w:pPr>
        <w:rPr>
          <w:rFonts w:ascii="Arial" w:hAnsi="Arial" w:cs="Arial"/>
          <w:lang w:val="en-US"/>
        </w:rPr>
      </w:pPr>
    </w:p>
    <w:p w14:paraId="736E432A" w14:textId="52B31CB5" w:rsidR="00DE3E0B" w:rsidRPr="00752647" w:rsidRDefault="00DE3E0B" w:rsidP="00DE3E0B">
      <w:pPr>
        <w:pStyle w:val="ListParagraph"/>
        <w:numPr>
          <w:ilvl w:val="0"/>
          <w:numId w:val="9"/>
        </w:numPr>
        <w:rPr>
          <w:rFonts w:ascii="Arial" w:hAnsi="Arial" w:cs="Arial"/>
          <w:lang w:val="en-GB"/>
        </w:rPr>
      </w:pPr>
      <w:r w:rsidRPr="00752647">
        <w:rPr>
          <w:rFonts w:ascii="Arial" w:hAnsi="Arial" w:cs="Arial"/>
          <w:lang w:val="en-GB"/>
        </w:rPr>
        <w:t>Report from the Commission to the European Parliament and the Council on the implementation of the Regulation (EU) No 1025/2012 from 2015 to 2020</w:t>
      </w:r>
    </w:p>
    <w:p w14:paraId="75848E8B" w14:textId="0833FFE5" w:rsidR="00DE3E0B" w:rsidRPr="00752647" w:rsidRDefault="00E82144" w:rsidP="00B729B1">
      <w:pPr>
        <w:pStyle w:val="ListParagraph"/>
        <w:rPr>
          <w:rFonts w:ascii="Arial" w:hAnsi="Arial" w:cs="Arial"/>
          <w:lang w:val="en-GB"/>
        </w:rPr>
      </w:pPr>
      <w:hyperlink r:id="rId16" w:history="1">
        <w:r w:rsidR="00B729B1" w:rsidRPr="00752647">
          <w:rPr>
            <w:rStyle w:val="Hyperlink"/>
            <w:rFonts w:ascii="Arial" w:hAnsi="Arial" w:cs="Arial"/>
            <w:lang w:val="en-GB"/>
          </w:rPr>
          <w:t>https://ec.europa.eu/docsroom/documents/48600?locale=en</w:t>
        </w:r>
      </w:hyperlink>
    </w:p>
    <w:p w14:paraId="3CAB0DCF" w14:textId="77777777" w:rsidR="00B729B1" w:rsidRPr="00752647" w:rsidRDefault="00B729B1" w:rsidP="00B729B1">
      <w:pPr>
        <w:pStyle w:val="ListParagraph"/>
        <w:rPr>
          <w:rFonts w:ascii="Arial" w:hAnsi="Arial" w:cs="Arial"/>
          <w:lang w:val="en-GB"/>
        </w:rPr>
      </w:pPr>
    </w:p>
    <w:p w14:paraId="029EDDF8" w14:textId="12D15090" w:rsidR="00DE3E0B" w:rsidRPr="00752647" w:rsidRDefault="00DE3E0B" w:rsidP="00B729B1">
      <w:pPr>
        <w:pStyle w:val="ListParagraph"/>
        <w:numPr>
          <w:ilvl w:val="0"/>
          <w:numId w:val="11"/>
        </w:numPr>
        <w:rPr>
          <w:rFonts w:ascii="Arial" w:hAnsi="Arial" w:cs="Arial"/>
          <w:lang w:val="en-GB"/>
        </w:rPr>
      </w:pPr>
      <w:r w:rsidRPr="00752647">
        <w:rPr>
          <w:rFonts w:ascii="Arial" w:hAnsi="Arial" w:cs="Arial"/>
          <w:lang w:val="en-GB"/>
        </w:rPr>
        <w:t>The 2022 annual EU work programme for European standardisation</w:t>
      </w:r>
    </w:p>
    <w:p w14:paraId="4EA380A5" w14:textId="322A2DEB" w:rsidR="00D057F0" w:rsidRPr="00752647" w:rsidRDefault="00E82144" w:rsidP="00DE3E0B">
      <w:pPr>
        <w:ind w:firstLine="720"/>
        <w:rPr>
          <w:rFonts w:ascii="Arial" w:hAnsi="Arial" w:cs="Arial"/>
          <w:lang w:val="en-GB"/>
        </w:rPr>
      </w:pPr>
      <w:hyperlink r:id="rId17" w:history="1">
        <w:r w:rsidR="00DE3E0B" w:rsidRPr="00752647">
          <w:rPr>
            <w:rStyle w:val="Hyperlink"/>
            <w:rFonts w:ascii="Arial" w:hAnsi="Arial" w:cs="Arial"/>
            <w:lang w:val="en-GB"/>
          </w:rPr>
          <w:t>https://ec.europa.eu/docsroom/documents/48601?locale=en</w:t>
        </w:r>
      </w:hyperlink>
      <w:r w:rsidR="00DE3E0B" w:rsidRPr="00752647">
        <w:rPr>
          <w:rFonts w:ascii="Arial" w:hAnsi="Arial" w:cs="Arial"/>
          <w:lang w:val="en-GB"/>
        </w:rPr>
        <w:t xml:space="preserve"> </w:t>
      </w:r>
    </w:p>
    <w:p w14:paraId="1713E53F" w14:textId="77777777" w:rsidR="00D057F0" w:rsidRPr="00752647" w:rsidRDefault="00D057F0" w:rsidP="004E7FE5">
      <w:pPr>
        <w:rPr>
          <w:rFonts w:ascii="Arial" w:hAnsi="Arial" w:cs="Arial"/>
          <w:lang w:val="en-GB"/>
        </w:rPr>
      </w:pPr>
    </w:p>
    <w:p w14:paraId="727C8B43" w14:textId="77777777" w:rsidR="00F531EF" w:rsidRPr="00CC2793" w:rsidRDefault="0044732C" w:rsidP="00F4466A">
      <w:pPr>
        <w:pStyle w:val="Heading1"/>
        <w:rPr>
          <w:rFonts w:cs="Arial"/>
        </w:rPr>
      </w:pPr>
      <w:r w:rsidRPr="00CC2793">
        <w:rPr>
          <w:rFonts w:cs="Arial"/>
        </w:rPr>
        <w:lastRenderedPageBreak/>
        <w:t>3</w:t>
      </w:r>
      <w:r w:rsidRPr="00CC2793">
        <w:rPr>
          <w:rFonts w:cs="Arial"/>
        </w:rPr>
        <w:tab/>
        <w:t>Rationale</w:t>
      </w:r>
    </w:p>
    <w:p w14:paraId="14A641BB" w14:textId="1089A8D8" w:rsidR="00B62E17" w:rsidRDefault="00196E52" w:rsidP="006A5E12">
      <w:pPr>
        <w:pStyle w:val="NormalWeb"/>
        <w:rPr>
          <w:rFonts w:ascii="Arial" w:hAnsi="Arial" w:cs="Arial"/>
          <w:sz w:val="22"/>
          <w:szCs w:val="22"/>
          <w:lang w:val="en-GB"/>
        </w:rPr>
      </w:pPr>
      <w:r w:rsidRPr="00CC2793">
        <w:rPr>
          <w:rFonts w:ascii="Arial" w:hAnsi="Arial" w:cs="Arial"/>
          <w:sz w:val="22"/>
          <w:szCs w:val="22"/>
          <w:lang w:val="en-GB"/>
        </w:rPr>
        <w:t xml:space="preserve">The </w:t>
      </w:r>
      <w:r w:rsidR="0067041F" w:rsidRPr="00CC2793">
        <w:rPr>
          <w:rFonts w:ascii="Arial" w:hAnsi="Arial" w:cs="Arial"/>
          <w:sz w:val="22"/>
          <w:szCs w:val="22"/>
          <w:lang w:val="en-GB"/>
        </w:rPr>
        <w:t>EU Commission Report</w:t>
      </w:r>
      <w:r w:rsidRPr="00CC2793">
        <w:rPr>
          <w:rFonts w:ascii="Arial" w:hAnsi="Arial" w:cs="Arial"/>
          <w:sz w:val="22"/>
          <w:szCs w:val="22"/>
          <w:lang w:val="en-GB"/>
        </w:rPr>
        <w:t xml:space="preserve"> </w:t>
      </w:r>
      <w:r w:rsidR="006A5E12" w:rsidRPr="00CC2793">
        <w:rPr>
          <w:rFonts w:ascii="Arial" w:hAnsi="Arial" w:cs="Arial"/>
          <w:color w:val="auto"/>
          <w:sz w:val="22"/>
          <w:szCs w:val="22"/>
          <w:lang w:val="en-GB" w:eastAsia="fr-FR"/>
        </w:rPr>
        <w:t>on the implementation of Regulation (EU) No 1025/2012, published in connection with the new standardi</w:t>
      </w:r>
      <w:r w:rsidR="00EB5211" w:rsidRPr="00CC2793">
        <w:rPr>
          <w:rFonts w:ascii="Arial" w:hAnsi="Arial" w:cs="Arial"/>
          <w:color w:val="auto"/>
          <w:sz w:val="22"/>
          <w:szCs w:val="22"/>
          <w:lang w:val="en-GB" w:eastAsia="fr-FR"/>
        </w:rPr>
        <w:t>s</w:t>
      </w:r>
      <w:r w:rsidR="006A5E12" w:rsidRPr="00CC2793">
        <w:rPr>
          <w:rFonts w:ascii="Arial" w:hAnsi="Arial" w:cs="Arial"/>
          <w:color w:val="auto"/>
          <w:sz w:val="22"/>
          <w:szCs w:val="22"/>
          <w:lang w:val="en-GB" w:eastAsia="fr-FR"/>
        </w:rPr>
        <w:t xml:space="preserve">ation strategy, highlights the </w:t>
      </w:r>
      <w:r w:rsidR="0067041F" w:rsidRPr="00CC2793">
        <w:rPr>
          <w:rFonts w:ascii="Arial" w:hAnsi="Arial" w:cs="Arial"/>
          <w:sz w:val="22"/>
          <w:szCs w:val="22"/>
          <w:lang w:val="en-GB"/>
        </w:rPr>
        <w:t>importance of inclusiv</w:t>
      </w:r>
      <w:r w:rsidR="006A5E12" w:rsidRPr="00CC2793">
        <w:rPr>
          <w:rFonts w:ascii="Arial" w:hAnsi="Arial" w:cs="Arial"/>
          <w:sz w:val="22"/>
          <w:szCs w:val="22"/>
          <w:lang w:val="en-GB"/>
        </w:rPr>
        <w:t>en</w:t>
      </w:r>
      <w:r w:rsidR="0067041F" w:rsidRPr="00CC2793">
        <w:rPr>
          <w:rFonts w:ascii="Arial" w:hAnsi="Arial" w:cs="Arial"/>
          <w:sz w:val="22"/>
          <w:szCs w:val="22"/>
          <w:lang w:val="en-GB"/>
        </w:rPr>
        <w:t>ess</w:t>
      </w:r>
      <w:r w:rsidR="006A5E12" w:rsidRPr="00CC2793">
        <w:rPr>
          <w:rFonts w:ascii="Arial" w:hAnsi="Arial" w:cs="Arial"/>
          <w:sz w:val="22"/>
          <w:szCs w:val="22"/>
          <w:lang w:val="en-GB"/>
        </w:rPr>
        <w:t xml:space="preserve">, and notes in particular the </w:t>
      </w:r>
      <w:r w:rsidR="00EB5211" w:rsidRPr="00CC2793">
        <w:rPr>
          <w:rFonts w:ascii="Arial" w:hAnsi="Arial" w:cs="Arial"/>
          <w:sz w:val="22"/>
          <w:szCs w:val="22"/>
          <w:lang w:val="en-GB"/>
        </w:rPr>
        <w:t xml:space="preserve">ongoing </w:t>
      </w:r>
      <w:r w:rsidR="006A5E12" w:rsidRPr="00CC2793">
        <w:rPr>
          <w:rFonts w:ascii="Arial" w:hAnsi="Arial" w:cs="Arial"/>
          <w:sz w:val="22"/>
          <w:szCs w:val="22"/>
          <w:lang w:val="en-GB"/>
        </w:rPr>
        <w:t xml:space="preserve">problems faced by Annex III organisations and other societal stakeholders </w:t>
      </w:r>
      <w:r w:rsidR="00EB5211" w:rsidRPr="00CC2793">
        <w:rPr>
          <w:rFonts w:ascii="Arial" w:hAnsi="Arial" w:cs="Arial"/>
          <w:sz w:val="22"/>
          <w:szCs w:val="22"/>
          <w:lang w:val="en-GB"/>
        </w:rPr>
        <w:t>in terms of making their views felt</w:t>
      </w:r>
      <w:r w:rsidR="00D37CCD" w:rsidRPr="00CC2793">
        <w:rPr>
          <w:rFonts w:ascii="Arial" w:hAnsi="Arial" w:cs="Arial"/>
          <w:sz w:val="22"/>
          <w:szCs w:val="22"/>
          <w:lang w:val="en-GB"/>
        </w:rPr>
        <w:t xml:space="preserve"> in the </w:t>
      </w:r>
      <w:r w:rsidR="004F4971">
        <w:rPr>
          <w:rFonts w:ascii="Arial" w:hAnsi="Arial" w:cs="Arial"/>
          <w:sz w:val="22"/>
          <w:szCs w:val="22"/>
          <w:lang w:val="en-GB"/>
        </w:rPr>
        <w:t xml:space="preserve">three </w:t>
      </w:r>
      <w:r w:rsidR="00D37CCD" w:rsidRPr="00CC2793">
        <w:rPr>
          <w:rFonts w:ascii="Arial" w:hAnsi="Arial" w:cs="Arial"/>
          <w:sz w:val="22"/>
          <w:szCs w:val="22"/>
          <w:lang w:val="en-GB"/>
        </w:rPr>
        <w:t>ESOs</w:t>
      </w:r>
      <w:r w:rsidR="00EB5211" w:rsidRPr="00CC2793">
        <w:rPr>
          <w:rFonts w:ascii="Arial" w:hAnsi="Arial" w:cs="Arial"/>
          <w:sz w:val="22"/>
          <w:szCs w:val="22"/>
          <w:lang w:val="en-GB"/>
        </w:rPr>
        <w:t xml:space="preserve">.  </w:t>
      </w:r>
    </w:p>
    <w:p w14:paraId="0C1F3047" w14:textId="43ECD94D" w:rsidR="00CC3E46" w:rsidRPr="00CC2793" w:rsidRDefault="00CC3E46" w:rsidP="006A5E12">
      <w:pPr>
        <w:pStyle w:val="NormalWeb"/>
        <w:rPr>
          <w:rFonts w:ascii="Arial" w:hAnsi="Arial" w:cs="Arial"/>
          <w:sz w:val="22"/>
          <w:szCs w:val="22"/>
          <w:lang w:val="en-GB"/>
        </w:rPr>
      </w:pPr>
      <w:r>
        <w:rPr>
          <w:rFonts w:ascii="Arial" w:hAnsi="Arial" w:cs="Arial"/>
          <w:sz w:val="22"/>
          <w:szCs w:val="22"/>
          <w:lang w:val="en-GB"/>
        </w:rPr>
        <w:t>The ETSI Board already proposed to pay additional attention to inclusiveness in the implementation of the ETSI strategy, with a proposed dedicated sub-group, and in this context the publication of the new European Commission strategy</w:t>
      </w:r>
      <w:r w:rsidRPr="00CC2793">
        <w:rPr>
          <w:rFonts w:ascii="Arial" w:hAnsi="Arial" w:cs="Arial"/>
          <w:sz w:val="22"/>
          <w:szCs w:val="22"/>
          <w:lang w:val="en-GB"/>
        </w:rPr>
        <w:t xml:space="preserve"> offers an excellent opportunity to improve matters.</w:t>
      </w:r>
      <w:r>
        <w:rPr>
          <w:rFonts w:ascii="Arial" w:hAnsi="Arial" w:cs="Arial"/>
          <w:sz w:val="22"/>
          <w:szCs w:val="22"/>
          <w:lang w:val="en-GB"/>
        </w:rPr>
        <w:t xml:space="preserve">  </w:t>
      </w:r>
    </w:p>
    <w:p w14:paraId="7365A109" w14:textId="1C1A4737" w:rsidR="00DE3E0B" w:rsidRPr="002741E5" w:rsidRDefault="00EE0558" w:rsidP="006A5E12">
      <w:pPr>
        <w:pStyle w:val="NormalWeb"/>
        <w:rPr>
          <w:rFonts w:ascii="Arial" w:hAnsi="Arial" w:cs="Arial"/>
          <w:sz w:val="22"/>
          <w:szCs w:val="22"/>
          <w:lang w:val="en-GB"/>
        </w:rPr>
      </w:pPr>
      <w:r w:rsidRPr="002741E5">
        <w:rPr>
          <w:rFonts w:ascii="Arial" w:hAnsi="Arial" w:cs="Arial"/>
          <w:sz w:val="22"/>
          <w:szCs w:val="22"/>
          <w:lang w:val="en-GB"/>
        </w:rPr>
        <w:t>On 15 February 2022, f</w:t>
      </w:r>
      <w:r w:rsidR="00DE3E0B" w:rsidRPr="002741E5">
        <w:rPr>
          <w:rFonts w:ascii="Arial" w:hAnsi="Arial" w:cs="Arial"/>
          <w:sz w:val="22"/>
          <w:szCs w:val="22"/>
          <w:lang w:val="en-GB"/>
        </w:rPr>
        <w:t xml:space="preserve">urther to the publication of the Commission’s Standardisation Strategy, an ETSI delegation </w:t>
      </w:r>
      <w:r w:rsidR="00B729B1" w:rsidRPr="002741E5">
        <w:rPr>
          <w:rFonts w:ascii="Arial" w:hAnsi="Arial" w:cs="Arial"/>
          <w:sz w:val="22"/>
          <w:szCs w:val="22"/>
          <w:lang w:val="en-GB"/>
        </w:rPr>
        <w:t>comprising</w:t>
      </w:r>
      <w:r w:rsidR="00DE3E0B" w:rsidRPr="002741E5">
        <w:rPr>
          <w:rFonts w:ascii="Arial" w:hAnsi="Arial" w:cs="Arial"/>
          <w:sz w:val="22"/>
          <w:szCs w:val="22"/>
          <w:lang w:val="en-GB"/>
        </w:rPr>
        <w:t xml:space="preserve"> Dirk Weiler, </w:t>
      </w:r>
      <w:proofErr w:type="spellStart"/>
      <w:r w:rsidR="00DE3E0B" w:rsidRPr="002741E5">
        <w:rPr>
          <w:rFonts w:ascii="Arial" w:hAnsi="Arial" w:cs="Arial"/>
          <w:sz w:val="22"/>
          <w:szCs w:val="22"/>
          <w:lang w:val="en-GB"/>
        </w:rPr>
        <w:t>Neviana</w:t>
      </w:r>
      <w:proofErr w:type="spellEnd"/>
      <w:r w:rsidR="00DE3E0B" w:rsidRPr="002741E5">
        <w:rPr>
          <w:rFonts w:ascii="Arial" w:hAnsi="Arial" w:cs="Arial"/>
          <w:sz w:val="22"/>
          <w:szCs w:val="22"/>
          <w:lang w:val="en-GB"/>
        </w:rPr>
        <w:t xml:space="preserve"> </w:t>
      </w:r>
      <w:proofErr w:type="spellStart"/>
      <w:r w:rsidR="00DE3E0B" w:rsidRPr="002741E5">
        <w:rPr>
          <w:rFonts w:ascii="Arial" w:hAnsi="Arial" w:cs="Arial"/>
          <w:sz w:val="22"/>
          <w:szCs w:val="22"/>
          <w:lang w:val="en-GB"/>
        </w:rPr>
        <w:t>Nikoloski</w:t>
      </w:r>
      <w:proofErr w:type="spellEnd"/>
      <w:r w:rsidR="00DE3E0B" w:rsidRPr="002741E5">
        <w:rPr>
          <w:rFonts w:ascii="Arial" w:hAnsi="Arial" w:cs="Arial"/>
          <w:sz w:val="22"/>
          <w:szCs w:val="22"/>
          <w:lang w:val="en-GB"/>
        </w:rPr>
        <w:t xml:space="preserve">, Luis Romero and Margot </w:t>
      </w:r>
      <w:proofErr w:type="spellStart"/>
      <w:r w:rsidR="00DE3E0B" w:rsidRPr="002741E5">
        <w:rPr>
          <w:rFonts w:ascii="Arial" w:hAnsi="Arial" w:cs="Arial"/>
          <w:sz w:val="22"/>
          <w:szCs w:val="22"/>
          <w:lang w:val="en-GB"/>
        </w:rPr>
        <w:t>Dor</w:t>
      </w:r>
      <w:proofErr w:type="spellEnd"/>
      <w:r w:rsidR="00DE3E0B" w:rsidRPr="002741E5">
        <w:rPr>
          <w:rFonts w:ascii="Arial" w:hAnsi="Arial" w:cs="Arial"/>
          <w:sz w:val="22"/>
          <w:szCs w:val="22"/>
          <w:lang w:val="en-GB"/>
        </w:rPr>
        <w:t xml:space="preserve"> </w:t>
      </w:r>
      <w:r w:rsidR="00066B89" w:rsidRPr="002741E5">
        <w:rPr>
          <w:rFonts w:ascii="Arial" w:hAnsi="Arial" w:cs="Arial"/>
          <w:sz w:val="22"/>
          <w:szCs w:val="22"/>
          <w:lang w:val="en-GB"/>
        </w:rPr>
        <w:t>met the Director</w:t>
      </w:r>
      <w:r w:rsidR="00B729B1" w:rsidRPr="002741E5">
        <w:rPr>
          <w:rFonts w:ascii="Arial" w:hAnsi="Arial" w:cs="Arial"/>
          <w:sz w:val="22"/>
          <w:szCs w:val="22"/>
          <w:lang w:val="en-GB"/>
        </w:rPr>
        <w:t>-</w:t>
      </w:r>
      <w:r w:rsidR="00066B89" w:rsidRPr="002741E5">
        <w:rPr>
          <w:rFonts w:ascii="Arial" w:hAnsi="Arial" w:cs="Arial"/>
          <w:sz w:val="22"/>
          <w:szCs w:val="22"/>
          <w:lang w:val="en-GB"/>
        </w:rPr>
        <w:t xml:space="preserve">General of EC DG GROW, Kerstin </w:t>
      </w:r>
      <w:proofErr w:type="spellStart"/>
      <w:r w:rsidR="00066B89" w:rsidRPr="002741E5">
        <w:rPr>
          <w:rFonts w:ascii="Arial" w:hAnsi="Arial" w:cs="Arial"/>
          <w:sz w:val="22"/>
          <w:szCs w:val="22"/>
          <w:lang w:val="en-GB"/>
        </w:rPr>
        <w:t>Jorna</w:t>
      </w:r>
      <w:proofErr w:type="spellEnd"/>
      <w:r w:rsidR="00B729B1" w:rsidRPr="002741E5">
        <w:rPr>
          <w:rFonts w:ascii="Arial" w:hAnsi="Arial" w:cs="Arial"/>
          <w:sz w:val="22"/>
          <w:szCs w:val="22"/>
          <w:lang w:val="en-GB"/>
        </w:rPr>
        <w:t>,</w:t>
      </w:r>
      <w:r w:rsidR="00066B89" w:rsidRPr="002741E5">
        <w:rPr>
          <w:rFonts w:ascii="Arial" w:hAnsi="Arial" w:cs="Arial"/>
          <w:sz w:val="22"/>
          <w:szCs w:val="22"/>
          <w:lang w:val="en-GB"/>
        </w:rPr>
        <w:t xml:space="preserve"> together with her team. </w:t>
      </w:r>
      <w:r w:rsidR="00CC3E46" w:rsidRPr="002741E5">
        <w:rPr>
          <w:rFonts w:ascii="Arial" w:hAnsi="Arial" w:cs="Arial"/>
          <w:sz w:val="22"/>
          <w:szCs w:val="22"/>
          <w:lang w:val="en-GB"/>
        </w:rPr>
        <w:t xml:space="preserve">As reported </w:t>
      </w:r>
      <w:r w:rsidR="00B729B1" w:rsidRPr="002741E5">
        <w:rPr>
          <w:rFonts w:ascii="Arial" w:hAnsi="Arial" w:cs="Arial"/>
          <w:sz w:val="22"/>
          <w:szCs w:val="22"/>
          <w:lang w:val="en-GB"/>
        </w:rPr>
        <w:t xml:space="preserve">in </w:t>
      </w:r>
      <w:r w:rsidR="00CC3E46" w:rsidRPr="002741E5">
        <w:rPr>
          <w:rFonts w:ascii="Arial" w:hAnsi="Arial" w:cs="Arial"/>
          <w:sz w:val="22"/>
          <w:szCs w:val="22"/>
          <w:lang w:val="en-GB"/>
        </w:rPr>
        <w:t>ETSI/</w:t>
      </w:r>
      <w:proofErr w:type="gramStart"/>
      <w:r w:rsidR="00CC3E46" w:rsidRPr="002741E5">
        <w:rPr>
          <w:rFonts w:ascii="Arial" w:hAnsi="Arial" w:cs="Arial"/>
          <w:sz w:val="22"/>
          <w:szCs w:val="22"/>
          <w:lang w:val="en-GB"/>
        </w:rPr>
        <w:t>BOARD(</w:t>
      </w:r>
      <w:proofErr w:type="gramEnd"/>
      <w:r w:rsidR="00CC3E46" w:rsidRPr="002741E5">
        <w:rPr>
          <w:rFonts w:ascii="Arial" w:hAnsi="Arial" w:cs="Arial"/>
          <w:sz w:val="22"/>
          <w:szCs w:val="22"/>
          <w:lang w:val="en-GB"/>
        </w:rPr>
        <w:t>22)136Ad_008, the goal of the meeting was to get clarifications on several points of the Communication and the draft Regulation amending Regulation 1025/2012. In this context,</w:t>
      </w:r>
      <w:r w:rsidR="00066B89" w:rsidRPr="002741E5">
        <w:rPr>
          <w:rFonts w:ascii="Arial" w:hAnsi="Arial" w:cs="Arial"/>
          <w:sz w:val="22"/>
          <w:szCs w:val="22"/>
          <w:lang w:val="en-GB"/>
        </w:rPr>
        <w:t xml:space="preserve"> </w:t>
      </w:r>
      <w:r w:rsidR="00437290" w:rsidRPr="002741E5">
        <w:rPr>
          <w:rFonts w:ascii="Arial" w:hAnsi="Arial" w:cs="Arial"/>
          <w:sz w:val="22"/>
          <w:szCs w:val="22"/>
          <w:lang w:val="en-GB"/>
        </w:rPr>
        <w:t>reportedly</w:t>
      </w:r>
      <w:r w:rsidRPr="002741E5">
        <w:rPr>
          <w:rFonts w:ascii="Arial" w:hAnsi="Arial" w:cs="Arial"/>
          <w:sz w:val="22"/>
          <w:szCs w:val="22"/>
          <w:lang w:val="en-GB"/>
        </w:rPr>
        <w:t>,</w:t>
      </w:r>
      <w:r w:rsidR="00437290" w:rsidRPr="002741E5">
        <w:rPr>
          <w:rFonts w:ascii="Arial" w:hAnsi="Arial" w:cs="Arial"/>
          <w:sz w:val="22"/>
          <w:szCs w:val="22"/>
          <w:lang w:val="en-GB"/>
        </w:rPr>
        <w:t xml:space="preserve"> </w:t>
      </w:r>
      <w:r w:rsidR="00066B89" w:rsidRPr="002741E5">
        <w:rPr>
          <w:rFonts w:ascii="Arial" w:hAnsi="Arial" w:cs="Arial"/>
          <w:sz w:val="22"/>
          <w:szCs w:val="22"/>
          <w:lang w:val="en-GB"/>
        </w:rPr>
        <w:t xml:space="preserve">Ms </w:t>
      </w:r>
      <w:proofErr w:type="spellStart"/>
      <w:r w:rsidR="00066B89" w:rsidRPr="002741E5">
        <w:rPr>
          <w:rFonts w:ascii="Arial" w:hAnsi="Arial" w:cs="Arial"/>
          <w:sz w:val="22"/>
          <w:szCs w:val="22"/>
          <w:lang w:val="en-GB"/>
        </w:rPr>
        <w:t>Jorna</w:t>
      </w:r>
      <w:proofErr w:type="spellEnd"/>
      <w:r w:rsidR="00CC3E46" w:rsidRPr="002741E5">
        <w:rPr>
          <w:rFonts w:ascii="Arial" w:hAnsi="Arial" w:cs="Arial"/>
          <w:sz w:val="22"/>
          <w:szCs w:val="22"/>
          <w:lang w:val="en-GB"/>
        </w:rPr>
        <w:t xml:space="preserve"> expressed the expectation of the Commission</w:t>
      </w:r>
      <w:r w:rsidR="00066B89" w:rsidRPr="002741E5">
        <w:rPr>
          <w:rFonts w:ascii="Arial" w:hAnsi="Arial" w:cs="Arial"/>
          <w:sz w:val="22"/>
          <w:szCs w:val="22"/>
          <w:lang w:val="en-GB"/>
        </w:rPr>
        <w:t xml:space="preserve"> for ETSI to </w:t>
      </w:r>
      <w:r w:rsidR="00CC3E46" w:rsidRPr="002741E5">
        <w:rPr>
          <w:rFonts w:ascii="Arial" w:hAnsi="Arial" w:cs="Arial"/>
          <w:sz w:val="22"/>
          <w:szCs w:val="22"/>
          <w:lang w:val="en-GB"/>
        </w:rPr>
        <w:t xml:space="preserve">move towards changes </w:t>
      </w:r>
      <w:r w:rsidR="00437290" w:rsidRPr="002741E5">
        <w:rPr>
          <w:rFonts w:ascii="Arial" w:hAnsi="Arial" w:cs="Arial"/>
          <w:sz w:val="22"/>
          <w:szCs w:val="22"/>
          <w:lang w:val="en-GB"/>
        </w:rPr>
        <w:t xml:space="preserve">on </w:t>
      </w:r>
      <w:r w:rsidR="00066B89" w:rsidRPr="002741E5">
        <w:rPr>
          <w:rFonts w:ascii="Arial" w:hAnsi="Arial" w:cs="Arial"/>
          <w:sz w:val="22"/>
          <w:szCs w:val="22"/>
          <w:lang w:val="en-GB"/>
        </w:rPr>
        <w:t xml:space="preserve">inclusiveness </w:t>
      </w:r>
      <w:r w:rsidR="00437290" w:rsidRPr="002741E5">
        <w:rPr>
          <w:rFonts w:ascii="Arial" w:hAnsi="Arial" w:cs="Arial"/>
          <w:sz w:val="22"/>
          <w:szCs w:val="22"/>
          <w:lang w:val="en-GB"/>
        </w:rPr>
        <w:t xml:space="preserve">and to present concrete proposals </w:t>
      </w:r>
      <w:r w:rsidR="00066B89" w:rsidRPr="002741E5">
        <w:rPr>
          <w:rFonts w:ascii="Arial" w:hAnsi="Arial" w:cs="Arial"/>
          <w:sz w:val="22"/>
          <w:szCs w:val="22"/>
          <w:lang w:val="en-GB"/>
        </w:rPr>
        <w:t>within two months</w:t>
      </w:r>
      <w:r w:rsidR="00CC3E46" w:rsidRPr="002741E5">
        <w:rPr>
          <w:rFonts w:ascii="Arial" w:hAnsi="Arial" w:cs="Arial"/>
          <w:sz w:val="22"/>
          <w:szCs w:val="22"/>
          <w:lang w:val="en-GB"/>
        </w:rPr>
        <w:t xml:space="preserve">, </w:t>
      </w:r>
      <w:proofErr w:type="spellStart"/>
      <w:proofErr w:type="gramStart"/>
      <w:r w:rsidR="00CC3E46" w:rsidRPr="002741E5">
        <w:rPr>
          <w:rFonts w:ascii="Arial" w:hAnsi="Arial" w:cs="Arial"/>
          <w:sz w:val="22"/>
          <w:szCs w:val="22"/>
          <w:lang w:val="en-GB"/>
        </w:rPr>
        <w:t>ie</w:t>
      </w:r>
      <w:proofErr w:type="spellEnd"/>
      <w:proofErr w:type="gramEnd"/>
      <w:r w:rsidR="00CC3E46" w:rsidRPr="002741E5">
        <w:rPr>
          <w:rFonts w:ascii="Arial" w:hAnsi="Arial" w:cs="Arial"/>
          <w:sz w:val="22"/>
          <w:szCs w:val="22"/>
          <w:lang w:val="en-GB"/>
        </w:rPr>
        <w:t xml:space="preserve"> by 15 April 2022.</w:t>
      </w:r>
    </w:p>
    <w:p w14:paraId="20A837BC" w14:textId="372AC84C" w:rsidR="00EB5211" w:rsidRPr="00CC2793" w:rsidRDefault="00B729B1" w:rsidP="006A5E12">
      <w:pPr>
        <w:pStyle w:val="NormalWeb"/>
        <w:rPr>
          <w:rFonts w:ascii="Arial" w:hAnsi="Arial" w:cs="Arial"/>
          <w:color w:val="auto"/>
          <w:sz w:val="20"/>
          <w:szCs w:val="20"/>
          <w:lang w:val="en-GB" w:eastAsia="fr-FR"/>
        </w:rPr>
      </w:pPr>
      <w:r w:rsidRPr="002741E5">
        <w:rPr>
          <w:rFonts w:ascii="Arial" w:hAnsi="Arial" w:cs="Arial"/>
          <w:sz w:val="22"/>
          <w:szCs w:val="22"/>
          <w:lang w:val="en-GB"/>
        </w:rPr>
        <w:t>With a view to</w:t>
      </w:r>
      <w:r w:rsidR="00437290" w:rsidRPr="002741E5">
        <w:rPr>
          <w:rFonts w:ascii="Arial" w:hAnsi="Arial" w:cs="Arial"/>
          <w:sz w:val="22"/>
          <w:szCs w:val="22"/>
          <w:lang w:val="en-GB"/>
        </w:rPr>
        <w:t xml:space="preserve"> assisting ETSI’s task to address the requests by the Commission,</w:t>
      </w:r>
      <w:r w:rsidR="00437290">
        <w:rPr>
          <w:rFonts w:ascii="Arial" w:hAnsi="Arial" w:cs="Arial"/>
          <w:sz w:val="22"/>
          <w:szCs w:val="22"/>
          <w:lang w:val="en-GB"/>
        </w:rPr>
        <w:t xml:space="preserve"> t</w:t>
      </w:r>
      <w:r w:rsidR="00EB5211" w:rsidRPr="00CC2793">
        <w:rPr>
          <w:rFonts w:ascii="Arial" w:hAnsi="Arial" w:cs="Arial"/>
          <w:sz w:val="22"/>
          <w:szCs w:val="22"/>
          <w:lang w:val="en-GB"/>
        </w:rPr>
        <w:t xml:space="preserve">he present document sets out an </w:t>
      </w:r>
      <w:r w:rsidR="00D37CCD" w:rsidRPr="00CC2793">
        <w:rPr>
          <w:rFonts w:ascii="Arial" w:hAnsi="Arial" w:cs="Arial"/>
          <w:sz w:val="22"/>
          <w:szCs w:val="22"/>
          <w:lang w:val="en-GB"/>
        </w:rPr>
        <w:t xml:space="preserve">initial position </w:t>
      </w:r>
      <w:r w:rsidR="00F20C44">
        <w:rPr>
          <w:rFonts w:ascii="Arial" w:hAnsi="Arial" w:cs="Arial"/>
          <w:sz w:val="22"/>
          <w:szCs w:val="22"/>
          <w:lang w:val="en-GB"/>
        </w:rPr>
        <w:t xml:space="preserve">from the Annex III organisations </w:t>
      </w:r>
      <w:r w:rsidR="00D37CCD" w:rsidRPr="00CC2793">
        <w:rPr>
          <w:rFonts w:ascii="Arial" w:hAnsi="Arial" w:cs="Arial"/>
          <w:sz w:val="22"/>
          <w:szCs w:val="22"/>
          <w:lang w:val="en-GB"/>
        </w:rPr>
        <w:t xml:space="preserve">on </w:t>
      </w:r>
      <w:r w:rsidR="004F4971">
        <w:rPr>
          <w:rFonts w:ascii="Arial" w:hAnsi="Arial" w:cs="Arial"/>
          <w:sz w:val="22"/>
          <w:szCs w:val="22"/>
          <w:lang w:val="en-GB"/>
        </w:rPr>
        <w:t>how</w:t>
      </w:r>
      <w:r w:rsidR="00D37CCD" w:rsidRPr="00CC2793">
        <w:rPr>
          <w:rFonts w:ascii="Arial" w:hAnsi="Arial" w:cs="Arial"/>
          <w:sz w:val="22"/>
          <w:szCs w:val="22"/>
          <w:lang w:val="en-GB"/>
        </w:rPr>
        <w:t xml:space="preserve"> inclusiveness in ETSI</w:t>
      </w:r>
      <w:r w:rsidR="004F4971">
        <w:rPr>
          <w:rFonts w:ascii="Arial" w:hAnsi="Arial" w:cs="Arial"/>
          <w:sz w:val="22"/>
          <w:szCs w:val="22"/>
          <w:lang w:val="en-GB"/>
        </w:rPr>
        <w:t xml:space="preserve"> could be strengthened</w:t>
      </w:r>
      <w:r w:rsidR="00D37CCD" w:rsidRPr="00CC2793">
        <w:rPr>
          <w:rFonts w:ascii="Arial" w:hAnsi="Arial" w:cs="Arial"/>
          <w:sz w:val="22"/>
          <w:szCs w:val="22"/>
          <w:lang w:val="en-GB"/>
        </w:rPr>
        <w:t>.</w:t>
      </w:r>
      <w:r w:rsidR="00D37CCD" w:rsidRPr="00CC2793">
        <w:rPr>
          <w:rFonts w:ascii="Arial" w:hAnsi="Arial" w:cs="Arial"/>
          <w:sz w:val="20"/>
          <w:szCs w:val="20"/>
          <w:lang w:val="en-GB"/>
        </w:rPr>
        <w:t xml:space="preserve">   </w:t>
      </w:r>
    </w:p>
    <w:p w14:paraId="31810A54" w14:textId="77777777" w:rsidR="00D37CCD" w:rsidRPr="00CC2793" w:rsidRDefault="00D37CCD">
      <w:pPr>
        <w:pStyle w:val="Heading1"/>
        <w:rPr>
          <w:rFonts w:cs="Arial"/>
        </w:rPr>
      </w:pPr>
    </w:p>
    <w:p w14:paraId="3B330854" w14:textId="47556142" w:rsidR="0044732C" w:rsidRPr="00CC2793" w:rsidRDefault="0044732C">
      <w:pPr>
        <w:pStyle w:val="Heading1"/>
        <w:rPr>
          <w:rFonts w:cs="Arial"/>
        </w:rPr>
      </w:pPr>
      <w:r w:rsidRPr="00CC2793">
        <w:rPr>
          <w:rFonts w:cs="Arial"/>
        </w:rPr>
        <w:t>4</w:t>
      </w:r>
      <w:r w:rsidRPr="00CC2793">
        <w:rPr>
          <w:rFonts w:cs="Arial"/>
        </w:rPr>
        <w:tab/>
        <w:t>Consequences and implications</w:t>
      </w:r>
    </w:p>
    <w:p w14:paraId="1BAC7B49" w14:textId="4ECFE7FF" w:rsidR="00566190" w:rsidRPr="00CC2793" w:rsidRDefault="00D37CCD" w:rsidP="00566190">
      <w:pPr>
        <w:rPr>
          <w:rFonts w:ascii="Arial" w:hAnsi="Arial" w:cs="Arial"/>
          <w:sz w:val="22"/>
          <w:szCs w:val="22"/>
          <w:lang w:val="en-GB"/>
        </w:rPr>
      </w:pPr>
      <w:r w:rsidRPr="00CC2793">
        <w:rPr>
          <w:rFonts w:ascii="Arial" w:hAnsi="Arial" w:cs="Arial"/>
          <w:sz w:val="22"/>
          <w:szCs w:val="22"/>
          <w:lang w:val="en-GB"/>
        </w:rPr>
        <w:t xml:space="preserve">The Annex III organisations welcome the additional focus on inclusiveness within the ETSI Board Strategy </w:t>
      </w:r>
      <w:r w:rsidR="00A243D1" w:rsidRPr="00CC2793">
        <w:rPr>
          <w:rFonts w:ascii="Arial" w:hAnsi="Arial" w:cs="Arial"/>
          <w:sz w:val="22"/>
          <w:szCs w:val="22"/>
          <w:lang w:val="en-GB"/>
        </w:rPr>
        <w:t xml:space="preserve">for 2022, and request </w:t>
      </w:r>
      <w:r w:rsidR="00F3148F" w:rsidRPr="00CC2793">
        <w:rPr>
          <w:rFonts w:ascii="Arial" w:hAnsi="Arial" w:cs="Arial"/>
          <w:sz w:val="22"/>
          <w:szCs w:val="22"/>
          <w:lang w:val="en-GB"/>
        </w:rPr>
        <w:t xml:space="preserve">that </w:t>
      </w:r>
      <w:r w:rsidR="00A243D1" w:rsidRPr="00CC2793">
        <w:rPr>
          <w:rFonts w:ascii="Arial" w:hAnsi="Arial" w:cs="Arial"/>
          <w:sz w:val="22"/>
          <w:szCs w:val="22"/>
          <w:lang w:val="en-GB"/>
        </w:rPr>
        <w:t>the improvements set out in the following section</w:t>
      </w:r>
      <w:r w:rsidR="00F3148F" w:rsidRPr="00CC2793">
        <w:rPr>
          <w:rFonts w:ascii="Arial" w:hAnsi="Arial" w:cs="Arial"/>
          <w:sz w:val="22"/>
          <w:szCs w:val="22"/>
          <w:lang w:val="en-GB"/>
        </w:rPr>
        <w:t>s</w:t>
      </w:r>
      <w:r w:rsidR="00A243D1" w:rsidRPr="00CC2793">
        <w:rPr>
          <w:rFonts w:ascii="Arial" w:hAnsi="Arial" w:cs="Arial"/>
          <w:sz w:val="22"/>
          <w:szCs w:val="22"/>
          <w:lang w:val="en-GB"/>
        </w:rPr>
        <w:t xml:space="preserve"> be given careful and due attention in that context.  These improvements </w:t>
      </w:r>
      <w:r w:rsidR="00F3148F" w:rsidRPr="00CC2793">
        <w:rPr>
          <w:rFonts w:ascii="Arial" w:hAnsi="Arial" w:cs="Arial"/>
          <w:sz w:val="22"/>
          <w:szCs w:val="22"/>
          <w:lang w:val="en-GB"/>
        </w:rPr>
        <w:t>can be divided</w:t>
      </w:r>
      <w:r w:rsidR="00A243D1" w:rsidRPr="00CC2793">
        <w:rPr>
          <w:rFonts w:ascii="Arial" w:hAnsi="Arial" w:cs="Arial"/>
          <w:sz w:val="22"/>
          <w:szCs w:val="22"/>
          <w:lang w:val="en-GB"/>
        </w:rPr>
        <w:t xml:space="preserve"> into two categories:</w:t>
      </w:r>
    </w:p>
    <w:p w14:paraId="200DA810" w14:textId="46F52D47" w:rsidR="00A243D1" w:rsidRPr="00CC2793" w:rsidRDefault="00A243D1" w:rsidP="00566190">
      <w:pPr>
        <w:rPr>
          <w:rFonts w:ascii="Arial" w:hAnsi="Arial" w:cs="Arial"/>
          <w:sz w:val="22"/>
          <w:szCs w:val="22"/>
          <w:lang w:val="en-GB"/>
        </w:rPr>
      </w:pPr>
    </w:p>
    <w:p w14:paraId="46D6D0DD" w14:textId="78394A5D" w:rsidR="00A243D1" w:rsidRPr="00CC2793" w:rsidRDefault="00A05B12" w:rsidP="00A243D1">
      <w:pPr>
        <w:pStyle w:val="ListParagraph"/>
        <w:numPr>
          <w:ilvl w:val="0"/>
          <w:numId w:val="5"/>
        </w:numPr>
        <w:rPr>
          <w:rFonts w:ascii="Arial" w:hAnsi="Arial" w:cs="Arial"/>
          <w:sz w:val="22"/>
          <w:szCs w:val="22"/>
          <w:lang w:val="en-GB"/>
        </w:rPr>
      </w:pPr>
      <w:r>
        <w:rPr>
          <w:rFonts w:ascii="Arial" w:hAnsi="Arial" w:cs="Arial"/>
          <w:sz w:val="22"/>
          <w:szCs w:val="22"/>
          <w:lang w:val="en-GB"/>
        </w:rPr>
        <w:t>Proposals</w:t>
      </w:r>
      <w:r w:rsidRPr="00CC2793">
        <w:rPr>
          <w:rFonts w:ascii="Arial" w:hAnsi="Arial" w:cs="Arial"/>
          <w:sz w:val="22"/>
          <w:szCs w:val="22"/>
          <w:lang w:val="en-GB"/>
        </w:rPr>
        <w:t xml:space="preserve"> </w:t>
      </w:r>
      <w:r w:rsidR="00A243D1" w:rsidRPr="00CC2793">
        <w:rPr>
          <w:rFonts w:ascii="Arial" w:hAnsi="Arial" w:cs="Arial"/>
          <w:sz w:val="22"/>
          <w:szCs w:val="22"/>
          <w:lang w:val="en-GB"/>
        </w:rPr>
        <w:t xml:space="preserve">that can be introduced easily and quickly given the will to do so, requiring only administrative or procedural </w:t>
      </w:r>
      <w:proofErr w:type="gramStart"/>
      <w:r w:rsidR="00A243D1" w:rsidRPr="00CC2793">
        <w:rPr>
          <w:rFonts w:ascii="Arial" w:hAnsi="Arial" w:cs="Arial"/>
          <w:sz w:val="22"/>
          <w:szCs w:val="22"/>
          <w:lang w:val="en-GB"/>
        </w:rPr>
        <w:t>approaches;</w:t>
      </w:r>
      <w:proofErr w:type="gramEnd"/>
    </w:p>
    <w:p w14:paraId="57082558" w14:textId="2888B6C2" w:rsidR="00A243D1" w:rsidRPr="00CC2793" w:rsidRDefault="00A243D1" w:rsidP="00A243D1">
      <w:pPr>
        <w:rPr>
          <w:rFonts w:ascii="Arial" w:hAnsi="Arial" w:cs="Arial"/>
          <w:sz w:val="22"/>
          <w:szCs w:val="22"/>
          <w:lang w:val="en-GB"/>
        </w:rPr>
      </w:pPr>
    </w:p>
    <w:p w14:paraId="120E1B0B" w14:textId="7FE54993" w:rsidR="00B62E17" w:rsidRPr="00A05B12" w:rsidRDefault="00A05B12" w:rsidP="00D83DA4">
      <w:pPr>
        <w:pStyle w:val="ListParagraph"/>
        <w:numPr>
          <w:ilvl w:val="0"/>
          <w:numId w:val="5"/>
        </w:numPr>
        <w:rPr>
          <w:rFonts w:ascii="Arial" w:hAnsi="Arial" w:cs="Arial"/>
          <w:sz w:val="20"/>
          <w:szCs w:val="20"/>
          <w:lang w:val="en-GB"/>
        </w:rPr>
      </w:pPr>
      <w:r>
        <w:rPr>
          <w:rFonts w:ascii="Arial" w:hAnsi="Arial" w:cs="Arial"/>
          <w:sz w:val="22"/>
          <w:szCs w:val="22"/>
          <w:lang w:val="en-GB"/>
        </w:rPr>
        <w:t>Proposals</w:t>
      </w:r>
      <w:r w:rsidRPr="00A05B12">
        <w:rPr>
          <w:rFonts w:ascii="Arial" w:hAnsi="Arial" w:cs="Arial"/>
          <w:sz w:val="22"/>
          <w:szCs w:val="22"/>
          <w:lang w:val="en-GB"/>
        </w:rPr>
        <w:t xml:space="preserve"> </w:t>
      </w:r>
      <w:r w:rsidR="00A243D1" w:rsidRPr="00A05B12">
        <w:rPr>
          <w:rFonts w:ascii="Arial" w:hAnsi="Arial" w:cs="Arial"/>
          <w:sz w:val="22"/>
          <w:szCs w:val="22"/>
          <w:lang w:val="en-GB"/>
        </w:rPr>
        <w:t>requiring changes to ETSI</w:t>
      </w:r>
      <w:r w:rsidR="00E73100" w:rsidRPr="00A05B12">
        <w:rPr>
          <w:rFonts w:ascii="Arial" w:hAnsi="Arial" w:cs="Arial"/>
          <w:sz w:val="22"/>
          <w:szCs w:val="22"/>
          <w:lang w:val="en-GB"/>
        </w:rPr>
        <w:t>’s</w:t>
      </w:r>
      <w:r w:rsidR="00A243D1" w:rsidRPr="00A05B12">
        <w:rPr>
          <w:rFonts w:ascii="Arial" w:hAnsi="Arial" w:cs="Arial"/>
          <w:sz w:val="22"/>
          <w:szCs w:val="22"/>
          <w:lang w:val="en-GB"/>
        </w:rPr>
        <w:t xml:space="preserve"> ways of working</w:t>
      </w:r>
      <w:r w:rsidR="00A57C22">
        <w:rPr>
          <w:rFonts w:ascii="Arial" w:hAnsi="Arial" w:cs="Arial"/>
          <w:sz w:val="22"/>
          <w:szCs w:val="22"/>
          <w:lang w:val="en-GB"/>
        </w:rPr>
        <w:t>.</w:t>
      </w:r>
      <w:r w:rsidR="00A243D1" w:rsidRPr="00A05B12">
        <w:rPr>
          <w:rFonts w:ascii="Arial" w:hAnsi="Arial" w:cs="Arial"/>
          <w:sz w:val="22"/>
          <w:szCs w:val="22"/>
          <w:lang w:val="en-GB"/>
        </w:rPr>
        <w:t xml:space="preserve"> </w:t>
      </w:r>
    </w:p>
    <w:tbl>
      <w:tblPr>
        <w:tblW w:w="0" w:type="auto"/>
        <w:tblLook w:val="01E0" w:firstRow="1" w:lastRow="1" w:firstColumn="1" w:lastColumn="1" w:noHBand="0" w:noVBand="0"/>
      </w:tblPr>
      <w:tblGrid>
        <w:gridCol w:w="4537"/>
        <w:gridCol w:w="4536"/>
      </w:tblGrid>
      <w:tr w:rsidR="00B62E17" w:rsidRPr="007B0A07" w14:paraId="608F85EA" w14:textId="77777777" w:rsidTr="00F3148F">
        <w:tc>
          <w:tcPr>
            <w:tcW w:w="4537" w:type="dxa"/>
          </w:tcPr>
          <w:p w14:paraId="42303835" w14:textId="2668C384" w:rsidR="00B62E17" w:rsidRPr="00CC2793" w:rsidRDefault="00B62E17" w:rsidP="0045324E">
            <w:pPr>
              <w:rPr>
                <w:rFonts w:ascii="Arial" w:hAnsi="Arial" w:cs="Arial"/>
                <w:lang w:val="en-GB"/>
              </w:rPr>
            </w:pPr>
          </w:p>
        </w:tc>
        <w:tc>
          <w:tcPr>
            <w:tcW w:w="4536" w:type="dxa"/>
            <w:tcMar>
              <w:top w:w="113" w:type="dxa"/>
            </w:tcMar>
            <w:vAlign w:val="center"/>
          </w:tcPr>
          <w:p w14:paraId="4EE92078" w14:textId="1C215F65" w:rsidR="00B62E17" w:rsidRPr="00CC2793" w:rsidRDefault="00B62E17" w:rsidP="00B142CC">
            <w:pPr>
              <w:jc w:val="center"/>
              <w:rPr>
                <w:rFonts w:ascii="Arial" w:hAnsi="Arial" w:cs="Arial"/>
                <w:lang w:val="en-GB"/>
              </w:rPr>
            </w:pPr>
          </w:p>
        </w:tc>
      </w:tr>
    </w:tbl>
    <w:p w14:paraId="533D43F0" w14:textId="4394C11F" w:rsidR="00F3148F" w:rsidRPr="00CC2793" w:rsidRDefault="00F3148F" w:rsidP="00F3148F">
      <w:pPr>
        <w:pStyle w:val="Heading1"/>
        <w:rPr>
          <w:rFonts w:cs="Arial"/>
        </w:rPr>
      </w:pPr>
      <w:r w:rsidRPr="00CC2793">
        <w:rPr>
          <w:rFonts w:cs="Arial"/>
        </w:rPr>
        <w:t>5</w:t>
      </w:r>
      <w:r w:rsidRPr="00CC2793">
        <w:rPr>
          <w:rFonts w:cs="Arial"/>
        </w:rPr>
        <w:tab/>
        <w:t>“Easy wins”</w:t>
      </w:r>
    </w:p>
    <w:p w14:paraId="3CC188FF" w14:textId="09DD2A3E" w:rsidR="00F3148F" w:rsidRPr="00CC2793" w:rsidRDefault="00F3148F" w:rsidP="00F3148F">
      <w:pPr>
        <w:rPr>
          <w:rFonts w:ascii="Arial" w:hAnsi="Arial" w:cs="Arial"/>
          <w:b/>
          <w:bCs/>
          <w:sz w:val="22"/>
          <w:szCs w:val="22"/>
          <w:lang w:val="en-GB"/>
        </w:rPr>
      </w:pPr>
      <w:r w:rsidRPr="00CC2793">
        <w:rPr>
          <w:rFonts w:ascii="Arial" w:hAnsi="Arial" w:cs="Arial"/>
          <w:b/>
          <w:bCs/>
          <w:sz w:val="22"/>
          <w:szCs w:val="22"/>
          <w:lang w:val="en-GB"/>
        </w:rPr>
        <w:t>5.1      Commenting on draft ENs</w:t>
      </w:r>
    </w:p>
    <w:p w14:paraId="04AA3A3C" w14:textId="1188BBA2" w:rsidR="006C20BB" w:rsidRPr="00561A26" w:rsidRDefault="006C20BB" w:rsidP="00F3148F">
      <w:pPr>
        <w:rPr>
          <w:rFonts w:ascii="Arial" w:hAnsi="Arial" w:cs="Arial"/>
          <w:b/>
          <w:bCs/>
          <w:strike/>
          <w:sz w:val="22"/>
          <w:szCs w:val="22"/>
          <w:lang w:val="en-GB"/>
        </w:rPr>
      </w:pPr>
    </w:p>
    <w:p w14:paraId="7877CE2D" w14:textId="6793CF55" w:rsidR="006C20BB" w:rsidRPr="00CC2793" w:rsidRDefault="004925C3" w:rsidP="00F3148F">
      <w:pPr>
        <w:rPr>
          <w:rFonts w:ascii="Arial" w:hAnsi="Arial" w:cs="Arial"/>
          <w:sz w:val="22"/>
          <w:szCs w:val="22"/>
          <w:lang w:val="en-GB"/>
        </w:rPr>
      </w:pPr>
      <w:r w:rsidRPr="00CC2793">
        <w:rPr>
          <w:rFonts w:ascii="Arial" w:hAnsi="Arial" w:cs="Arial"/>
          <w:sz w:val="22"/>
          <w:szCs w:val="22"/>
          <w:lang w:val="en-GB"/>
        </w:rPr>
        <w:t>Article 5 of the</w:t>
      </w:r>
      <w:r w:rsidR="006C20BB" w:rsidRPr="00CC2793">
        <w:rPr>
          <w:rFonts w:ascii="Arial" w:hAnsi="Arial" w:cs="Arial"/>
          <w:sz w:val="22"/>
          <w:szCs w:val="22"/>
          <w:lang w:val="en-GB"/>
        </w:rPr>
        <w:t xml:space="preserve"> Standardisation Regulation </w:t>
      </w:r>
      <w:r w:rsidRPr="00CC2793">
        <w:rPr>
          <w:rFonts w:ascii="Arial" w:hAnsi="Arial" w:cs="Arial"/>
          <w:sz w:val="22"/>
          <w:szCs w:val="22"/>
          <w:lang w:val="en-GB"/>
        </w:rPr>
        <w:t>1025/2012 requires the ESOs to encourage full participation of the Annex III organisations at every stage in the standardisation process</w:t>
      </w:r>
      <w:r w:rsidR="0089032A">
        <w:rPr>
          <w:rFonts w:ascii="Arial" w:hAnsi="Arial" w:cs="Arial"/>
          <w:sz w:val="22"/>
          <w:szCs w:val="22"/>
          <w:lang w:val="en-GB"/>
        </w:rPr>
        <w:t xml:space="preserve">, recognising that </w:t>
      </w:r>
      <w:r w:rsidR="00C615ED">
        <w:rPr>
          <w:rFonts w:ascii="Arial" w:hAnsi="Arial" w:cs="Arial"/>
          <w:sz w:val="22"/>
          <w:szCs w:val="22"/>
          <w:lang w:val="en-GB"/>
        </w:rPr>
        <w:t>they are the European-level representatives of stakeholders under</w:t>
      </w:r>
      <w:r w:rsidR="007555F7">
        <w:rPr>
          <w:rFonts w:ascii="Arial" w:hAnsi="Arial" w:cs="Arial"/>
          <w:sz w:val="22"/>
          <w:szCs w:val="22"/>
          <w:lang w:val="en-GB"/>
        </w:rPr>
        <w:t>-</w:t>
      </w:r>
      <w:r w:rsidR="00C615ED">
        <w:rPr>
          <w:rFonts w:ascii="Arial" w:hAnsi="Arial" w:cs="Arial"/>
          <w:sz w:val="22"/>
          <w:szCs w:val="22"/>
          <w:lang w:val="en-GB"/>
        </w:rPr>
        <w:t>represented at the national</w:t>
      </w:r>
      <w:r w:rsidR="00CC70DF">
        <w:rPr>
          <w:rFonts w:ascii="Arial" w:hAnsi="Arial" w:cs="Arial"/>
          <w:sz w:val="22"/>
          <w:szCs w:val="22"/>
          <w:lang w:val="en-GB"/>
        </w:rPr>
        <w:t xml:space="preserve"> level</w:t>
      </w:r>
      <w:r w:rsidRPr="00CC2793">
        <w:rPr>
          <w:rFonts w:ascii="Arial" w:hAnsi="Arial" w:cs="Arial"/>
          <w:sz w:val="22"/>
          <w:szCs w:val="22"/>
          <w:lang w:val="en-GB"/>
        </w:rPr>
        <w:t>.  Of course</w:t>
      </w:r>
      <w:r w:rsidR="007555F7">
        <w:rPr>
          <w:rFonts w:ascii="Arial" w:hAnsi="Arial" w:cs="Arial"/>
          <w:sz w:val="22"/>
          <w:szCs w:val="22"/>
          <w:lang w:val="en-GB"/>
        </w:rPr>
        <w:t>,</w:t>
      </w:r>
      <w:r w:rsidRPr="00CC2793">
        <w:rPr>
          <w:rFonts w:ascii="Arial" w:hAnsi="Arial" w:cs="Arial"/>
          <w:sz w:val="22"/>
          <w:szCs w:val="22"/>
          <w:lang w:val="en-GB"/>
        </w:rPr>
        <w:t xml:space="preserve"> as ETSI members</w:t>
      </w:r>
      <w:r w:rsidR="007555F7">
        <w:rPr>
          <w:rFonts w:ascii="Arial" w:hAnsi="Arial" w:cs="Arial"/>
          <w:sz w:val="22"/>
          <w:szCs w:val="22"/>
          <w:lang w:val="en-GB"/>
        </w:rPr>
        <w:t>,</w:t>
      </w:r>
      <w:r w:rsidRPr="00CC2793">
        <w:rPr>
          <w:rFonts w:ascii="Arial" w:hAnsi="Arial" w:cs="Arial"/>
          <w:sz w:val="22"/>
          <w:szCs w:val="22"/>
          <w:lang w:val="en-GB"/>
        </w:rPr>
        <w:t xml:space="preserve"> the Annex III </w:t>
      </w:r>
      <w:r w:rsidR="00635FEF">
        <w:rPr>
          <w:rFonts w:ascii="Arial" w:hAnsi="Arial" w:cs="Arial"/>
          <w:sz w:val="22"/>
          <w:szCs w:val="22"/>
          <w:lang w:val="en-GB"/>
        </w:rPr>
        <w:t xml:space="preserve">organisations </w:t>
      </w:r>
      <w:r w:rsidRPr="00CC2793">
        <w:rPr>
          <w:rFonts w:ascii="Arial" w:hAnsi="Arial" w:cs="Arial"/>
          <w:sz w:val="22"/>
          <w:szCs w:val="22"/>
          <w:lang w:val="en-GB"/>
        </w:rPr>
        <w:t>can and do participate directly in nearly every stage, except for the submission of comments on draft standards sent to the ETSI ENAP</w:t>
      </w:r>
      <w:r w:rsidR="006E4F77">
        <w:rPr>
          <w:rFonts w:ascii="Arial" w:hAnsi="Arial" w:cs="Arial"/>
          <w:sz w:val="22"/>
          <w:szCs w:val="22"/>
          <w:lang w:val="en-GB"/>
        </w:rPr>
        <w:t>. Here,</w:t>
      </w:r>
      <w:r w:rsidRPr="00CC2793">
        <w:rPr>
          <w:rFonts w:ascii="Arial" w:hAnsi="Arial" w:cs="Arial"/>
          <w:sz w:val="22"/>
          <w:szCs w:val="22"/>
          <w:lang w:val="en-GB"/>
        </w:rPr>
        <w:t xml:space="preserve"> they are required to submit their comments to the NSOs</w:t>
      </w:r>
      <w:r w:rsidR="00734F80">
        <w:rPr>
          <w:rFonts w:ascii="Arial" w:hAnsi="Arial" w:cs="Arial"/>
          <w:sz w:val="22"/>
          <w:szCs w:val="22"/>
          <w:lang w:val="en-GB"/>
        </w:rPr>
        <w:t xml:space="preserve">, </w:t>
      </w:r>
      <w:r w:rsidR="00036E84">
        <w:rPr>
          <w:rFonts w:ascii="Arial" w:hAnsi="Arial" w:cs="Arial"/>
          <w:sz w:val="22"/>
          <w:szCs w:val="22"/>
          <w:lang w:val="en-GB"/>
        </w:rPr>
        <w:t>despite</w:t>
      </w:r>
      <w:r w:rsidR="00734F80">
        <w:rPr>
          <w:rFonts w:ascii="Arial" w:hAnsi="Arial" w:cs="Arial"/>
          <w:sz w:val="22"/>
          <w:szCs w:val="22"/>
          <w:lang w:val="en-GB"/>
        </w:rPr>
        <w:t xml:space="preserve"> the </w:t>
      </w:r>
      <w:r w:rsidR="00FC332F">
        <w:rPr>
          <w:rFonts w:ascii="Arial" w:hAnsi="Arial" w:cs="Arial"/>
          <w:sz w:val="22"/>
          <w:szCs w:val="22"/>
          <w:lang w:val="en-GB"/>
        </w:rPr>
        <w:t>perspective of their comments</w:t>
      </w:r>
      <w:r w:rsidR="00036E84">
        <w:rPr>
          <w:rFonts w:ascii="Arial" w:hAnsi="Arial" w:cs="Arial"/>
          <w:sz w:val="22"/>
          <w:szCs w:val="22"/>
          <w:lang w:val="en-GB"/>
        </w:rPr>
        <w:t xml:space="preserve"> being</w:t>
      </w:r>
      <w:r w:rsidR="00FC332F">
        <w:rPr>
          <w:rFonts w:ascii="Arial" w:hAnsi="Arial" w:cs="Arial"/>
          <w:sz w:val="22"/>
          <w:szCs w:val="22"/>
          <w:lang w:val="en-GB"/>
        </w:rPr>
        <w:t xml:space="preserve"> “pan-European” by their very nature</w:t>
      </w:r>
      <w:r w:rsidRPr="00CC2793">
        <w:rPr>
          <w:rFonts w:ascii="Arial" w:hAnsi="Arial" w:cs="Arial"/>
          <w:sz w:val="22"/>
          <w:szCs w:val="22"/>
          <w:lang w:val="en-GB"/>
        </w:rPr>
        <w:t>.</w:t>
      </w:r>
    </w:p>
    <w:p w14:paraId="57D0DC22" w14:textId="0299DA39" w:rsidR="004925C3" w:rsidRPr="00CC2793" w:rsidRDefault="004925C3" w:rsidP="00F3148F">
      <w:pPr>
        <w:rPr>
          <w:rFonts w:ascii="Arial" w:hAnsi="Arial" w:cs="Arial"/>
          <w:sz w:val="22"/>
          <w:szCs w:val="22"/>
          <w:lang w:val="en-GB"/>
        </w:rPr>
      </w:pPr>
    </w:p>
    <w:p w14:paraId="63557653" w14:textId="1B9E43B8" w:rsidR="004925C3" w:rsidRPr="00CC2793" w:rsidRDefault="004925C3" w:rsidP="00F3148F">
      <w:pPr>
        <w:rPr>
          <w:rFonts w:ascii="Arial" w:hAnsi="Arial" w:cs="Arial"/>
          <w:sz w:val="22"/>
          <w:szCs w:val="22"/>
          <w:lang w:val="en-GB"/>
        </w:rPr>
      </w:pPr>
      <w:r w:rsidRPr="00CC2793">
        <w:rPr>
          <w:rFonts w:ascii="Arial" w:hAnsi="Arial" w:cs="Arial"/>
          <w:sz w:val="22"/>
          <w:szCs w:val="22"/>
          <w:lang w:val="en-GB"/>
        </w:rPr>
        <w:t>ETSI can easily – as an administrative act</w:t>
      </w:r>
      <w:r w:rsidR="00D1302A" w:rsidRPr="00CC2793">
        <w:rPr>
          <w:rFonts w:ascii="Arial" w:hAnsi="Arial" w:cs="Arial"/>
          <w:sz w:val="22"/>
          <w:szCs w:val="22"/>
          <w:lang w:val="en-GB"/>
        </w:rPr>
        <w:t>ion</w:t>
      </w:r>
      <w:r w:rsidRPr="00CC2793">
        <w:rPr>
          <w:rFonts w:ascii="Arial" w:hAnsi="Arial" w:cs="Arial"/>
          <w:sz w:val="22"/>
          <w:szCs w:val="22"/>
          <w:lang w:val="en-GB"/>
        </w:rPr>
        <w:t xml:space="preserve"> – </w:t>
      </w:r>
      <w:r w:rsidR="00D1302A" w:rsidRPr="00CC2793">
        <w:rPr>
          <w:rFonts w:ascii="Arial" w:hAnsi="Arial" w:cs="Arial"/>
          <w:sz w:val="22"/>
          <w:szCs w:val="22"/>
          <w:lang w:val="en-GB"/>
        </w:rPr>
        <w:t>enable Annex III organisations to submit their comments electronically direct to the Secretariat</w:t>
      </w:r>
      <w:r w:rsidR="00D41C39">
        <w:rPr>
          <w:rFonts w:ascii="Arial" w:hAnsi="Arial" w:cs="Arial"/>
          <w:sz w:val="22"/>
          <w:szCs w:val="22"/>
          <w:lang w:val="en-GB"/>
        </w:rPr>
        <w:t>,</w:t>
      </w:r>
      <w:r w:rsidR="00D1302A" w:rsidRPr="00CC2793">
        <w:rPr>
          <w:rFonts w:ascii="Arial" w:hAnsi="Arial" w:cs="Arial"/>
          <w:sz w:val="22"/>
          <w:szCs w:val="22"/>
          <w:lang w:val="en-GB"/>
        </w:rPr>
        <w:t xml:space="preserve"> in parallel with the comments being </w:t>
      </w:r>
      <w:r w:rsidR="00D1302A" w:rsidRPr="00CC2793">
        <w:rPr>
          <w:rFonts w:ascii="Arial" w:hAnsi="Arial" w:cs="Arial"/>
          <w:sz w:val="22"/>
          <w:szCs w:val="22"/>
          <w:lang w:val="en-GB"/>
        </w:rPr>
        <w:lastRenderedPageBreak/>
        <w:t xml:space="preserve">submitted by the NSOs.  </w:t>
      </w:r>
      <w:r w:rsidR="00EB0839">
        <w:rPr>
          <w:rFonts w:ascii="Arial" w:hAnsi="Arial" w:cs="Arial"/>
          <w:sz w:val="22"/>
          <w:szCs w:val="22"/>
          <w:lang w:val="en-GB"/>
        </w:rPr>
        <w:t>This will help underline compliance with the Regulation</w:t>
      </w:r>
      <w:r w:rsidR="009D61DF">
        <w:rPr>
          <w:rFonts w:ascii="Arial" w:hAnsi="Arial" w:cs="Arial"/>
          <w:sz w:val="22"/>
          <w:szCs w:val="22"/>
          <w:lang w:val="en-GB"/>
        </w:rPr>
        <w:t>, and for the process to be aligned across the ESOs.</w:t>
      </w:r>
    </w:p>
    <w:p w14:paraId="4E2BF2EE" w14:textId="07138276" w:rsidR="00D1302A" w:rsidRPr="00CC2793" w:rsidRDefault="00D1302A" w:rsidP="00F3148F">
      <w:pPr>
        <w:rPr>
          <w:rFonts w:ascii="Arial" w:hAnsi="Arial" w:cs="Arial"/>
          <w:sz w:val="22"/>
          <w:szCs w:val="22"/>
          <w:lang w:val="en-GB"/>
        </w:rPr>
      </w:pPr>
    </w:p>
    <w:p w14:paraId="12808EDC" w14:textId="4D301F91" w:rsidR="00D1302A" w:rsidRPr="00CC2793" w:rsidRDefault="00D1302A" w:rsidP="00D1302A">
      <w:pPr>
        <w:rPr>
          <w:rFonts w:ascii="Arial" w:hAnsi="Arial" w:cs="Arial"/>
          <w:b/>
          <w:bCs/>
          <w:sz w:val="22"/>
          <w:szCs w:val="22"/>
          <w:lang w:val="en-GB"/>
        </w:rPr>
      </w:pPr>
      <w:r w:rsidRPr="00CC2793">
        <w:rPr>
          <w:rFonts w:ascii="Arial" w:hAnsi="Arial" w:cs="Arial"/>
          <w:b/>
          <w:bCs/>
          <w:sz w:val="22"/>
          <w:szCs w:val="22"/>
          <w:lang w:val="en-GB"/>
        </w:rPr>
        <w:t>5.2       Publicising Annex III views</w:t>
      </w:r>
    </w:p>
    <w:p w14:paraId="4A37D3D8" w14:textId="5AC6DAF6" w:rsidR="00D1302A" w:rsidRPr="00CC2793" w:rsidRDefault="00D1302A" w:rsidP="00D1302A">
      <w:pPr>
        <w:rPr>
          <w:rFonts w:ascii="Arial" w:hAnsi="Arial" w:cs="Arial"/>
          <w:b/>
          <w:bCs/>
          <w:sz w:val="22"/>
          <w:szCs w:val="22"/>
          <w:lang w:val="en-GB"/>
        </w:rPr>
      </w:pPr>
    </w:p>
    <w:p w14:paraId="19CAF2E0" w14:textId="20C4FA1D" w:rsidR="00D1302A" w:rsidRDefault="00D1302A" w:rsidP="003D733D">
      <w:pPr>
        <w:rPr>
          <w:rFonts w:ascii="Arial" w:hAnsi="Arial" w:cs="Arial"/>
          <w:color w:val="FF0000"/>
          <w:sz w:val="22"/>
          <w:szCs w:val="22"/>
          <w:lang w:val="en-GB"/>
        </w:rPr>
      </w:pPr>
      <w:r w:rsidRPr="00CC2793">
        <w:rPr>
          <w:rFonts w:ascii="Arial" w:hAnsi="Arial" w:cs="Arial"/>
          <w:sz w:val="22"/>
          <w:szCs w:val="22"/>
          <w:lang w:val="en-GB"/>
        </w:rPr>
        <w:t>This is the so-called “Opinion”</w:t>
      </w:r>
      <w:r w:rsidR="00B50BD9" w:rsidRPr="00CC2793">
        <w:rPr>
          <w:rFonts w:ascii="Arial" w:hAnsi="Arial" w:cs="Arial"/>
          <w:sz w:val="22"/>
          <w:szCs w:val="22"/>
          <w:lang w:val="en-GB"/>
        </w:rPr>
        <w:t xml:space="preserve">.  </w:t>
      </w:r>
      <w:r w:rsidR="00060F0C">
        <w:rPr>
          <w:rFonts w:ascii="Arial" w:hAnsi="Arial" w:cs="Arial"/>
          <w:sz w:val="22"/>
          <w:szCs w:val="22"/>
          <w:lang w:val="en-GB"/>
        </w:rPr>
        <w:t>It</w:t>
      </w:r>
      <w:r w:rsidR="00B50BD9" w:rsidRPr="00CC2793">
        <w:rPr>
          <w:rFonts w:ascii="Arial" w:hAnsi="Arial" w:cs="Arial"/>
          <w:sz w:val="22"/>
          <w:szCs w:val="22"/>
          <w:lang w:val="en-GB"/>
        </w:rPr>
        <w:t xml:space="preserve"> is not </w:t>
      </w:r>
      <w:proofErr w:type="gramStart"/>
      <w:r w:rsidR="00B50BD9" w:rsidRPr="00CC2793">
        <w:rPr>
          <w:rFonts w:ascii="Arial" w:hAnsi="Arial" w:cs="Arial"/>
          <w:sz w:val="22"/>
          <w:szCs w:val="22"/>
          <w:lang w:val="en-GB"/>
        </w:rPr>
        <w:t>procedural, but</w:t>
      </w:r>
      <w:proofErr w:type="gramEnd"/>
      <w:r w:rsidR="00B50BD9" w:rsidRPr="00CC2793">
        <w:rPr>
          <w:rFonts w:ascii="Arial" w:hAnsi="Arial" w:cs="Arial"/>
          <w:sz w:val="22"/>
          <w:szCs w:val="22"/>
          <w:lang w:val="en-GB"/>
        </w:rPr>
        <w:t xml:space="preserve"> </w:t>
      </w:r>
      <w:r w:rsidR="009E06C4">
        <w:rPr>
          <w:rFonts w:ascii="Arial" w:hAnsi="Arial" w:cs="Arial"/>
          <w:sz w:val="22"/>
          <w:szCs w:val="22"/>
          <w:lang w:val="en-GB"/>
        </w:rPr>
        <w:t>ensures that</w:t>
      </w:r>
      <w:r w:rsidR="00B50BD9" w:rsidRPr="00CC2793">
        <w:rPr>
          <w:rFonts w:ascii="Arial" w:hAnsi="Arial" w:cs="Arial"/>
          <w:sz w:val="22"/>
          <w:szCs w:val="22"/>
          <w:lang w:val="en-GB"/>
        </w:rPr>
        <w:t xml:space="preserve"> the view</w:t>
      </w:r>
      <w:r w:rsidR="00404FD9">
        <w:rPr>
          <w:rFonts w:ascii="Arial" w:hAnsi="Arial" w:cs="Arial"/>
          <w:sz w:val="22"/>
          <w:szCs w:val="22"/>
          <w:lang w:val="en-GB"/>
        </w:rPr>
        <w:t>s</w:t>
      </w:r>
      <w:r w:rsidR="00B50BD9" w:rsidRPr="00CC2793">
        <w:rPr>
          <w:rFonts w:ascii="Arial" w:hAnsi="Arial" w:cs="Arial"/>
          <w:sz w:val="22"/>
          <w:szCs w:val="22"/>
          <w:lang w:val="en-GB"/>
        </w:rPr>
        <w:t xml:space="preserve"> of </w:t>
      </w:r>
      <w:r w:rsidR="009E06C4">
        <w:rPr>
          <w:rFonts w:ascii="Arial" w:hAnsi="Arial" w:cs="Arial"/>
          <w:sz w:val="22"/>
          <w:szCs w:val="22"/>
          <w:lang w:val="en-GB"/>
        </w:rPr>
        <w:t xml:space="preserve">an </w:t>
      </w:r>
      <w:r w:rsidR="00B50BD9" w:rsidRPr="00CC2793">
        <w:rPr>
          <w:rFonts w:ascii="Arial" w:hAnsi="Arial" w:cs="Arial"/>
          <w:sz w:val="22"/>
          <w:szCs w:val="22"/>
          <w:lang w:val="en-GB"/>
        </w:rPr>
        <w:t xml:space="preserve">Annex III </w:t>
      </w:r>
      <w:r w:rsidR="007B74FC">
        <w:rPr>
          <w:rFonts w:ascii="Arial" w:hAnsi="Arial" w:cs="Arial"/>
          <w:sz w:val="22"/>
          <w:szCs w:val="22"/>
          <w:lang w:val="en-GB"/>
        </w:rPr>
        <w:t>organisation</w:t>
      </w:r>
      <w:r w:rsidR="00B50BD9" w:rsidRPr="00CC2793">
        <w:rPr>
          <w:rFonts w:ascii="Arial" w:hAnsi="Arial" w:cs="Arial"/>
          <w:sz w:val="22"/>
          <w:szCs w:val="22"/>
          <w:lang w:val="en-GB"/>
        </w:rPr>
        <w:t xml:space="preserve"> </w:t>
      </w:r>
      <w:r w:rsidR="00404FD9">
        <w:rPr>
          <w:rFonts w:ascii="Arial" w:hAnsi="Arial" w:cs="Arial"/>
          <w:sz w:val="22"/>
          <w:szCs w:val="22"/>
          <w:lang w:val="en-GB"/>
        </w:rPr>
        <w:t xml:space="preserve">(and its constituency) </w:t>
      </w:r>
      <w:r w:rsidR="00B50BD9" w:rsidRPr="00CC2793">
        <w:rPr>
          <w:rFonts w:ascii="Arial" w:hAnsi="Arial" w:cs="Arial"/>
          <w:sz w:val="22"/>
          <w:szCs w:val="22"/>
          <w:lang w:val="en-GB"/>
        </w:rPr>
        <w:t xml:space="preserve">on </w:t>
      </w:r>
      <w:r w:rsidR="009E06C4">
        <w:rPr>
          <w:rFonts w:ascii="Arial" w:hAnsi="Arial" w:cs="Arial"/>
          <w:sz w:val="22"/>
          <w:szCs w:val="22"/>
          <w:lang w:val="en-GB"/>
        </w:rPr>
        <w:t xml:space="preserve">a draft </w:t>
      </w:r>
      <w:r w:rsidR="00B50BD9" w:rsidRPr="00CC2793">
        <w:rPr>
          <w:rFonts w:ascii="Arial" w:hAnsi="Arial" w:cs="Arial"/>
          <w:sz w:val="22"/>
          <w:szCs w:val="22"/>
          <w:lang w:val="en-GB"/>
        </w:rPr>
        <w:t>standard</w:t>
      </w:r>
      <w:r w:rsidR="009E06C4">
        <w:rPr>
          <w:rFonts w:ascii="Arial" w:hAnsi="Arial" w:cs="Arial"/>
          <w:sz w:val="22"/>
          <w:szCs w:val="22"/>
          <w:lang w:val="en-GB"/>
        </w:rPr>
        <w:t xml:space="preserve"> is</w:t>
      </w:r>
      <w:r w:rsidR="00B50BD9" w:rsidRPr="00CC2793">
        <w:rPr>
          <w:rFonts w:ascii="Arial" w:hAnsi="Arial" w:cs="Arial"/>
          <w:sz w:val="22"/>
          <w:szCs w:val="22"/>
          <w:lang w:val="en-GB"/>
        </w:rPr>
        <w:t xml:space="preserve"> </w:t>
      </w:r>
      <w:r w:rsidR="009F1033">
        <w:rPr>
          <w:rFonts w:ascii="Arial" w:hAnsi="Arial" w:cs="Arial"/>
          <w:sz w:val="22"/>
          <w:szCs w:val="22"/>
          <w:lang w:val="en-GB"/>
        </w:rPr>
        <w:t>known</w:t>
      </w:r>
      <w:r w:rsidR="008713EC">
        <w:rPr>
          <w:rFonts w:ascii="Arial" w:hAnsi="Arial" w:cs="Arial"/>
          <w:sz w:val="22"/>
          <w:szCs w:val="22"/>
          <w:lang w:val="en-GB"/>
        </w:rPr>
        <w:t xml:space="preserve"> to the ESO</w:t>
      </w:r>
      <w:r w:rsidR="009E06C4">
        <w:rPr>
          <w:rFonts w:ascii="Arial" w:hAnsi="Arial" w:cs="Arial"/>
          <w:sz w:val="22"/>
          <w:szCs w:val="22"/>
          <w:lang w:val="en-GB"/>
        </w:rPr>
        <w:t>.</w:t>
      </w:r>
      <w:r w:rsidR="00B50BD9" w:rsidRPr="00CC2793">
        <w:rPr>
          <w:rFonts w:ascii="Arial" w:hAnsi="Arial" w:cs="Arial"/>
          <w:sz w:val="22"/>
          <w:szCs w:val="22"/>
          <w:lang w:val="en-GB"/>
        </w:rPr>
        <w:t xml:space="preserve">  </w:t>
      </w:r>
    </w:p>
    <w:p w14:paraId="4DDC62A1" w14:textId="04A76C41" w:rsidR="005E07F7" w:rsidRDefault="005E07F7" w:rsidP="003D733D">
      <w:pPr>
        <w:rPr>
          <w:rFonts w:ascii="Arial" w:hAnsi="Arial" w:cs="Arial"/>
          <w:color w:val="FF0000"/>
          <w:sz w:val="22"/>
          <w:szCs w:val="22"/>
          <w:lang w:val="en-GB"/>
        </w:rPr>
      </w:pPr>
    </w:p>
    <w:p w14:paraId="5014ECEC" w14:textId="7601046D" w:rsidR="00B50BD9" w:rsidRPr="00CC2793" w:rsidRDefault="005E07F7" w:rsidP="003D733D">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Opinion can be “Favourable” or “Not Favourable”, and </w:t>
      </w:r>
      <w:r w:rsidR="000738E2">
        <w:rPr>
          <w:rFonts w:ascii="Arial" w:hAnsi="Arial" w:cs="Arial"/>
          <w:color w:val="000000" w:themeColor="text1"/>
          <w:sz w:val="22"/>
          <w:szCs w:val="22"/>
          <w:lang w:val="en-GB"/>
        </w:rPr>
        <w:t>an</w:t>
      </w:r>
      <w:r>
        <w:rPr>
          <w:rFonts w:ascii="Arial" w:hAnsi="Arial" w:cs="Arial"/>
          <w:color w:val="000000" w:themeColor="text1"/>
          <w:sz w:val="22"/>
          <w:szCs w:val="22"/>
          <w:lang w:val="en-GB"/>
        </w:rPr>
        <w:t xml:space="preserve"> </w:t>
      </w:r>
      <w:r w:rsidR="00724236">
        <w:rPr>
          <w:rFonts w:ascii="Arial" w:hAnsi="Arial" w:cs="Arial"/>
          <w:color w:val="000000" w:themeColor="text1"/>
          <w:sz w:val="22"/>
          <w:szCs w:val="22"/>
          <w:lang w:val="en-GB"/>
        </w:rPr>
        <w:t>Annex III organisation may choose whether to submit an Opinion on a draft standard.</w:t>
      </w:r>
      <w:r w:rsidR="00CA1476">
        <w:rPr>
          <w:rFonts w:ascii="Arial" w:hAnsi="Arial" w:cs="Arial"/>
          <w:color w:val="000000" w:themeColor="text1"/>
          <w:sz w:val="22"/>
          <w:szCs w:val="22"/>
          <w:lang w:val="en-GB"/>
        </w:rPr>
        <w:t xml:space="preserve"> Where the Opinion </w:t>
      </w:r>
      <w:r w:rsidR="009265A8">
        <w:rPr>
          <w:rFonts w:ascii="Arial" w:hAnsi="Arial" w:cs="Arial"/>
          <w:color w:val="000000" w:themeColor="text1"/>
          <w:sz w:val="22"/>
          <w:szCs w:val="22"/>
          <w:lang w:val="en-GB"/>
        </w:rPr>
        <w:t>has been</w:t>
      </w:r>
      <w:r w:rsidR="00CA1476">
        <w:rPr>
          <w:rFonts w:ascii="Arial" w:hAnsi="Arial" w:cs="Arial"/>
          <w:color w:val="000000" w:themeColor="text1"/>
          <w:sz w:val="22"/>
          <w:szCs w:val="22"/>
          <w:lang w:val="en-GB"/>
        </w:rPr>
        <w:t xml:space="preserve"> used </w:t>
      </w:r>
      <w:r w:rsidR="002B3DAE">
        <w:rPr>
          <w:rFonts w:ascii="Arial" w:hAnsi="Arial" w:cs="Arial"/>
          <w:color w:val="000000" w:themeColor="text1"/>
          <w:sz w:val="22"/>
          <w:szCs w:val="22"/>
          <w:lang w:val="en-GB"/>
        </w:rPr>
        <w:t xml:space="preserve">by the other ESOs, most (75%) have been fully supportive of </w:t>
      </w:r>
      <w:r w:rsidR="00B50BD9" w:rsidRPr="00CC2793">
        <w:rPr>
          <w:rFonts w:ascii="Arial" w:hAnsi="Arial" w:cs="Arial"/>
          <w:sz w:val="22"/>
          <w:szCs w:val="22"/>
          <w:lang w:val="en-GB"/>
        </w:rPr>
        <w:t xml:space="preserve">the </w:t>
      </w:r>
      <w:r w:rsidR="001F22F4" w:rsidRPr="00CC2793">
        <w:rPr>
          <w:rFonts w:ascii="Arial" w:hAnsi="Arial" w:cs="Arial"/>
          <w:sz w:val="22"/>
          <w:szCs w:val="22"/>
          <w:lang w:val="en-GB"/>
        </w:rPr>
        <w:t>standards</w:t>
      </w:r>
      <w:r w:rsidR="00B50BD9" w:rsidRPr="00CC2793">
        <w:rPr>
          <w:rFonts w:ascii="Arial" w:hAnsi="Arial" w:cs="Arial"/>
          <w:sz w:val="22"/>
          <w:szCs w:val="22"/>
          <w:lang w:val="en-GB"/>
        </w:rPr>
        <w:t xml:space="preserve"> to which t</w:t>
      </w:r>
      <w:r w:rsidR="001F22F4" w:rsidRPr="00CC2793">
        <w:rPr>
          <w:rFonts w:ascii="Arial" w:hAnsi="Arial" w:cs="Arial"/>
          <w:sz w:val="22"/>
          <w:szCs w:val="22"/>
          <w:lang w:val="en-GB"/>
        </w:rPr>
        <w:t>h</w:t>
      </w:r>
      <w:r w:rsidR="00B50BD9" w:rsidRPr="00CC2793">
        <w:rPr>
          <w:rFonts w:ascii="Arial" w:hAnsi="Arial" w:cs="Arial"/>
          <w:sz w:val="22"/>
          <w:szCs w:val="22"/>
          <w:lang w:val="en-GB"/>
        </w:rPr>
        <w:t>ey</w:t>
      </w:r>
      <w:r w:rsidR="001F22F4" w:rsidRPr="00CC2793">
        <w:rPr>
          <w:rFonts w:ascii="Arial" w:hAnsi="Arial" w:cs="Arial"/>
          <w:sz w:val="22"/>
          <w:szCs w:val="22"/>
          <w:lang w:val="en-GB"/>
        </w:rPr>
        <w:t xml:space="preserve"> </w:t>
      </w:r>
      <w:r w:rsidR="00B50BD9" w:rsidRPr="00CC2793">
        <w:rPr>
          <w:rFonts w:ascii="Arial" w:hAnsi="Arial" w:cs="Arial"/>
          <w:sz w:val="22"/>
          <w:szCs w:val="22"/>
          <w:lang w:val="en-GB"/>
        </w:rPr>
        <w:t xml:space="preserve">relate.  Many others are </w:t>
      </w:r>
      <w:r w:rsidR="001F22F4" w:rsidRPr="00CC2793">
        <w:rPr>
          <w:rFonts w:ascii="Arial" w:hAnsi="Arial" w:cs="Arial"/>
          <w:sz w:val="22"/>
          <w:szCs w:val="22"/>
          <w:lang w:val="en-GB"/>
        </w:rPr>
        <w:t xml:space="preserve">basically in favour of the </w:t>
      </w:r>
      <w:proofErr w:type="gramStart"/>
      <w:r w:rsidR="001F22F4" w:rsidRPr="00CC2793">
        <w:rPr>
          <w:rFonts w:ascii="Arial" w:hAnsi="Arial" w:cs="Arial"/>
          <w:sz w:val="22"/>
          <w:szCs w:val="22"/>
          <w:lang w:val="en-GB"/>
        </w:rPr>
        <w:t>standards</w:t>
      </w:r>
      <w:r w:rsidR="009265A8">
        <w:rPr>
          <w:rFonts w:ascii="Arial" w:hAnsi="Arial" w:cs="Arial"/>
          <w:sz w:val="22"/>
          <w:szCs w:val="22"/>
          <w:lang w:val="en-GB"/>
        </w:rPr>
        <w:t>,</w:t>
      </w:r>
      <w:r w:rsidR="001F22F4" w:rsidRPr="00CC2793">
        <w:rPr>
          <w:rFonts w:ascii="Arial" w:hAnsi="Arial" w:cs="Arial"/>
          <w:sz w:val="22"/>
          <w:szCs w:val="22"/>
          <w:lang w:val="en-GB"/>
        </w:rPr>
        <w:t xml:space="preserve"> but</w:t>
      </w:r>
      <w:proofErr w:type="gramEnd"/>
      <w:r w:rsidR="001F22F4" w:rsidRPr="00CC2793">
        <w:rPr>
          <w:rFonts w:ascii="Arial" w:hAnsi="Arial" w:cs="Arial"/>
          <w:sz w:val="22"/>
          <w:szCs w:val="22"/>
          <w:lang w:val="en-GB"/>
        </w:rPr>
        <w:t xml:space="preserve"> highlight improvements that can be made in future amendments.  The Opinions can thus also be used as a positive tool for promoting ETSI standards within the societal stakeholder and SME communities</w:t>
      </w:r>
      <w:r w:rsidR="001F22F4" w:rsidRPr="00CC2793">
        <w:rPr>
          <w:rFonts w:ascii="Arial" w:hAnsi="Arial" w:cs="Arial"/>
          <w:color w:val="000000" w:themeColor="text1"/>
          <w:sz w:val="22"/>
          <w:szCs w:val="22"/>
          <w:lang w:val="en-GB"/>
        </w:rPr>
        <w:t>.</w:t>
      </w:r>
      <w:r w:rsidR="003D733D" w:rsidRPr="00CC2793">
        <w:rPr>
          <w:rFonts w:ascii="Arial" w:hAnsi="Arial" w:cs="Arial"/>
          <w:color w:val="000000" w:themeColor="text1"/>
          <w:sz w:val="22"/>
          <w:szCs w:val="22"/>
          <w:lang w:val="en-GB"/>
        </w:rPr>
        <w:t xml:space="preserve"> On the other hand, a “</w:t>
      </w:r>
      <w:r w:rsidR="009E128F">
        <w:rPr>
          <w:rFonts w:ascii="Arial" w:hAnsi="Arial" w:cs="Arial"/>
          <w:color w:val="000000" w:themeColor="text1"/>
          <w:sz w:val="22"/>
          <w:szCs w:val="22"/>
          <w:lang w:val="en-GB"/>
        </w:rPr>
        <w:t>N</w:t>
      </w:r>
      <w:r w:rsidR="003D733D" w:rsidRPr="00CC2793">
        <w:rPr>
          <w:rFonts w:ascii="Arial" w:hAnsi="Arial" w:cs="Arial"/>
          <w:color w:val="000000" w:themeColor="text1"/>
          <w:sz w:val="22"/>
          <w:szCs w:val="22"/>
          <w:lang w:val="en-GB"/>
        </w:rPr>
        <w:t>o</w:t>
      </w:r>
      <w:r w:rsidR="009E128F">
        <w:rPr>
          <w:rFonts w:ascii="Arial" w:hAnsi="Arial" w:cs="Arial"/>
          <w:color w:val="000000" w:themeColor="text1"/>
          <w:sz w:val="22"/>
          <w:szCs w:val="22"/>
          <w:lang w:val="en-GB"/>
        </w:rPr>
        <w:t>t F</w:t>
      </w:r>
      <w:r w:rsidR="003D733D" w:rsidRPr="00CC2793">
        <w:rPr>
          <w:rFonts w:ascii="Arial" w:hAnsi="Arial" w:cs="Arial"/>
          <w:color w:val="000000" w:themeColor="text1"/>
          <w:sz w:val="22"/>
          <w:szCs w:val="22"/>
          <w:lang w:val="en-GB"/>
        </w:rPr>
        <w:t xml:space="preserve">avourable” Opinion on a standard that has passed the vote </w:t>
      </w:r>
      <w:r w:rsidR="009E128F">
        <w:rPr>
          <w:rFonts w:ascii="Arial" w:hAnsi="Arial" w:cs="Arial"/>
          <w:color w:val="000000" w:themeColor="text1"/>
          <w:sz w:val="22"/>
          <w:szCs w:val="22"/>
          <w:lang w:val="en-GB"/>
        </w:rPr>
        <w:t xml:space="preserve">allows the </w:t>
      </w:r>
      <w:r w:rsidR="003D733D" w:rsidRPr="00CC2793">
        <w:rPr>
          <w:rFonts w:ascii="Arial" w:hAnsi="Arial" w:cs="Arial"/>
          <w:color w:val="000000" w:themeColor="text1"/>
          <w:sz w:val="22"/>
          <w:szCs w:val="22"/>
          <w:lang w:val="en-GB"/>
        </w:rPr>
        <w:t>TC to check the Annex III concern and report accordingly</w:t>
      </w:r>
      <w:r w:rsidR="009E128F">
        <w:rPr>
          <w:rFonts w:ascii="Arial" w:hAnsi="Arial" w:cs="Arial"/>
          <w:color w:val="000000" w:themeColor="text1"/>
          <w:sz w:val="22"/>
          <w:szCs w:val="22"/>
          <w:lang w:val="en-GB"/>
        </w:rPr>
        <w:t xml:space="preserve"> (</w:t>
      </w:r>
      <w:r w:rsidR="00EA6129">
        <w:rPr>
          <w:rFonts w:ascii="Arial" w:hAnsi="Arial" w:cs="Arial"/>
          <w:color w:val="000000" w:themeColor="text1"/>
          <w:sz w:val="22"/>
          <w:szCs w:val="22"/>
          <w:lang w:val="en-GB"/>
        </w:rPr>
        <w:t xml:space="preserve">i.e. </w:t>
      </w:r>
      <w:r w:rsidR="009E128F">
        <w:rPr>
          <w:rFonts w:ascii="Arial" w:hAnsi="Arial" w:cs="Arial"/>
          <w:color w:val="000000" w:themeColor="text1"/>
          <w:sz w:val="22"/>
          <w:szCs w:val="22"/>
          <w:lang w:val="en-GB"/>
        </w:rPr>
        <w:t>no action, amendment or revision)</w:t>
      </w:r>
      <w:r w:rsidR="00EA6129">
        <w:rPr>
          <w:rFonts w:ascii="Arial" w:hAnsi="Arial" w:cs="Arial"/>
          <w:color w:val="000000" w:themeColor="text1"/>
          <w:sz w:val="22"/>
          <w:szCs w:val="22"/>
          <w:lang w:val="en-GB"/>
        </w:rPr>
        <w:t xml:space="preserve">: </w:t>
      </w:r>
      <w:r w:rsidR="00456F3C">
        <w:rPr>
          <w:rFonts w:ascii="Arial" w:hAnsi="Arial" w:cs="Arial"/>
          <w:color w:val="000000" w:themeColor="text1"/>
          <w:sz w:val="22"/>
          <w:szCs w:val="22"/>
          <w:lang w:val="en-GB"/>
        </w:rPr>
        <w:t>t</w:t>
      </w:r>
      <w:r w:rsidR="00456F3C" w:rsidRPr="00387252">
        <w:rPr>
          <w:rFonts w:ascii="Arial" w:hAnsi="Arial" w:cs="Arial"/>
          <w:color w:val="000000" w:themeColor="text1"/>
          <w:sz w:val="22"/>
          <w:szCs w:val="22"/>
          <w:lang w:val="en-GB"/>
        </w:rPr>
        <w:t>he Opinion does not affect the outcome of the vote</w:t>
      </w:r>
      <w:r w:rsidR="00456F3C">
        <w:rPr>
          <w:rFonts w:ascii="Arial" w:hAnsi="Arial" w:cs="Arial"/>
          <w:color w:val="000000" w:themeColor="text1"/>
          <w:sz w:val="22"/>
          <w:szCs w:val="22"/>
          <w:lang w:val="en-GB"/>
        </w:rPr>
        <w:t xml:space="preserve">, it is not a veto, nor does it challenge the consensus building, and it does not halt or postpone </w:t>
      </w:r>
      <w:r w:rsidR="00EA6129">
        <w:rPr>
          <w:rFonts w:ascii="Arial" w:hAnsi="Arial" w:cs="Arial"/>
          <w:color w:val="000000" w:themeColor="text1"/>
          <w:sz w:val="22"/>
          <w:szCs w:val="22"/>
          <w:lang w:val="en-GB"/>
        </w:rPr>
        <w:t xml:space="preserve">the process of the implementation of the </w:t>
      </w:r>
      <w:r w:rsidR="00A118F5">
        <w:rPr>
          <w:rFonts w:ascii="Arial" w:hAnsi="Arial" w:cs="Arial"/>
          <w:color w:val="000000" w:themeColor="text1"/>
          <w:sz w:val="22"/>
          <w:szCs w:val="22"/>
          <w:lang w:val="en-GB"/>
        </w:rPr>
        <w:t xml:space="preserve">(adopted) </w:t>
      </w:r>
      <w:r w:rsidR="00EA6129">
        <w:rPr>
          <w:rFonts w:ascii="Arial" w:hAnsi="Arial" w:cs="Arial"/>
          <w:color w:val="000000" w:themeColor="text1"/>
          <w:sz w:val="22"/>
          <w:szCs w:val="22"/>
          <w:lang w:val="en-GB"/>
        </w:rPr>
        <w:t>standard</w:t>
      </w:r>
      <w:r w:rsidR="00456F3C">
        <w:rPr>
          <w:rFonts w:ascii="Arial" w:hAnsi="Arial" w:cs="Arial"/>
          <w:color w:val="000000" w:themeColor="text1"/>
          <w:sz w:val="22"/>
          <w:szCs w:val="22"/>
          <w:lang w:val="en-GB"/>
        </w:rPr>
        <w:t>.</w:t>
      </w:r>
    </w:p>
    <w:p w14:paraId="2C8E96B1" w14:textId="7537DD2A" w:rsidR="00695845" w:rsidRPr="00CC2793" w:rsidRDefault="00695845" w:rsidP="003D733D">
      <w:pPr>
        <w:rPr>
          <w:rFonts w:ascii="Arial" w:hAnsi="Arial" w:cs="Arial"/>
          <w:color w:val="000000" w:themeColor="text1"/>
          <w:sz w:val="22"/>
          <w:szCs w:val="22"/>
          <w:lang w:val="en-GB"/>
        </w:rPr>
      </w:pPr>
    </w:p>
    <w:p w14:paraId="4637212F" w14:textId="79D9E870" w:rsidR="00243572" w:rsidRDefault="00EF7E2E" w:rsidP="003D733D">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Given the far wider use in ETSI of deliverables other than the EN, it is proposed </w:t>
      </w:r>
      <w:r w:rsidR="00695845" w:rsidRPr="00CC2793">
        <w:rPr>
          <w:rFonts w:ascii="Arial" w:hAnsi="Arial" w:cs="Arial"/>
          <w:color w:val="000000" w:themeColor="text1"/>
          <w:sz w:val="22"/>
          <w:szCs w:val="22"/>
          <w:lang w:val="en-GB"/>
        </w:rPr>
        <w:t>the Opinion be applied to</w:t>
      </w:r>
      <w:r w:rsidR="00F919AD" w:rsidRPr="00CC2793">
        <w:rPr>
          <w:rFonts w:ascii="Arial" w:hAnsi="Arial" w:cs="Arial"/>
          <w:color w:val="000000" w:themeColor="text1"/>
          <w:sz w:val="22"/>
          <w:szCs w:val="22"/>
          <w:lang w:val="en-GB"/>
        </w:rPr>
        <w:t xml:space="preserve"> </w:t>
      </w:r>
      <w:r w:rsidR="00AA6738">
        <w:rPr>
          <w:rFonts w:ascii="Arial" w:hAnsi="Arial" w:cs="Arial"/>
          <w:color w:val="000000" w:themeColor="text1"/>
          <w:sz w:val="22"/>
          <w:szCs w:val="22"/>
          <w:lang w:val="en-GB"/>
        </w:rPr>
        <w:t xml:space="preserve">both </w:t>
      </w:r>
      <w:r w:rsidR="00F919AD" w:rsidRPr="00CC2793">
        <w:rPr>
          <w:rFonts w:ascii="Arial" w:hAnsi="Arial" w:cs="Arial"/>
          <w:color w:val="000000" w:themeColor="text1"/>
          <w:sz w:val="22"/>
          <w:szCs w:val="22"/>
          <w:lang w:val="en-GB"/>
        </w:rPr>
        <w:t xml:space="preserve">European standards and </w:t>
      </w:r>
      <w:r>
        <w:rPr>
          <w:rFonts w:ascii="Arial" w:hAnsi="Arial" w:cs="Arial"/>
          <w:color w:val="000000" w:themeColor="text1"/>
          <w:sz w:val="22"/>
          <w:szCs w:val="22"/>
          <w:lang w:val="en-GB"/>
        </w:rPr>
        <w:t>other</w:t>
      </w:r>
      <w:r w:rsidR="00243572">
        <w:rPr>
          <w:rFonts w:ascii="Arial" w:hAnsi="Arial" w:cs="Arial"/>
          <w:color w:val="000000" w:themeColor="text1"/>
          <w:sz w:val="22"/>
          <w:szCs w:val="22"/>
          <w:lang w:val="en-GB"/>
        </w:rPr>
        <w:t xml:space="preserve"> </w:t>
      </w:r>
      <w:r w:rsidR="00F919AD" w:rsidRPr="00CC2793">
        <w:rPr>
          <w:rFonts w:ascii="Arial" w:hAnsi="Arial" w:cs="Arial"/>
          <w:color w:val="000000" w:themeColor="text1"/>
          <w:sz w:val="22"/>
          <w:szCs w:val="22"/>
          <w:lang w:val="en-GB"/>
        </w:rPr>
        <w:t>European Standardisation Deliverables.</w:t>
      </w:r>
      <w:r w:rsidR="00E54728">
        <w:rPr>
          <w:rFonts w:ascii="Arial" w:hAnsi="Arial" w:cs="Arial"/>
          <w:color w:val="000000" w:themeColor="text1"/>
          <w:sz w:val="22"/>
          <w:szCs w:val="22"/>
          <w:lang w:val="en-GB"/>
        </w:rPr>
        <w:t xml:space="preserve">  Opinions should be made available on the ETSI website.</w:t>
      </w:r>
    </w:p>
    <w:p w14:paraId="2F9D92AD" w14:textId="77777777" w:rsidR="00243572" w:rsidRDefault="00243572" w:rsidP="003D733D">
      <w:pPr>
        <w:rPr>
          <w:rFonts w:ascii="Arial" w:hAnsi="Arial" w:cs="Arial"/>
          <w:color w:val="000000" w:themeColor="text1"/>
          <w:sz w:val="22"/>
          <w:szCs w:val="22"/>
          <w:lang w:val="en-GB"/>
        </w:rPr>
      </w:pPr>
    </w:p>
    <w:p w14:paraId="7B2C7E6E" w14:textId="428C7381" w:rsidR="00695845" w:rsidRPr="00CC2793" w:rsidRDefault="00243572" w:rsidP="003D733D">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a further step, and demonstrating ETSI’s </w:t>
      </w:r>
      <w:r w:rsidR="00380F82">
        <w:rPr>
          <w:rFonts w:ascii="Arial" w:hAnsi="Arial" w:cs="Arial"/>
          <w:color w:val="000000" w:themeColor="text1"/>
          <w:sz w:val="22"/>
          <w:szCs w:val="22"/>
          <w:lang w:val="en-GB"/>
        </w:rPr>
        <w:t>wish to lead on</w:t>
      </w:r>
      <w:r w:rsidR="0082579A">
        <w:rPr>
          <w:rFonts w:ascii="Arial" w:hAnsi="Arial" w:cs="Arial"/>
          <w:color w:val="000000" w:themeColor="text1"/>
          <w:sz w:val="22"/>
          <w:szCs w:val="22"/>
          <w:lang w:val="en-GB"/>
        </w:rPr>
        <w:t xml:space="preserve"> inclusiveness, the Opinion could also be</w:t>
      </w:r>
      <w:r w:rsidR="00F919AD" w:rsidRPr="00CC2793">
        <w:rPr>
          <w:rFonts w:ascii="Arial" w:hAnsi="Arial" w:cs="Arial"/>
          <w:color w:val="000000" w:themeColor="text1"/>
          <w:sz w:val="22"/>
          <w:szCs w:val="22"/>
          <w:lang w:val="en-GB"/>
        </w:rPr>
        <w:t xml:space="preserve"> applied </w:t>
      </w:r>
      <w:r w:rsidR="004A1B5B">
        <w:rPr>
          <w:rFonts w:ascii="Arial" w:hAnsi="Arial" w:cs="Arial"/>
          <w:color w:val="000000" w:themeColor="text1"/>
          <w:sz w:val="22"/>
          <w:szCs w:val="22"/>
          <w:lang w:val="en-GB"/>
        </w:rPr>
        <w:t xml:space="preserve">similarly </w:t>
      </w:r>
      <w:r w:rsidR="00F919AD" w:rsidRPr="00CC2793">
        <w:rPr>
          <w:rFonts w:ascii="Arial" w:hAnsi="Arial" w:cs="Arial"/>
          <w:color w:val="000000" w:themeColor="text1"/>
          <w:sz w:val="22"/>
          <w:szCs w:val="22"/>
          <w:lang w:val="en-GB"/>
        </w:rPr>
        <w:t>to relevant Board/GA Decisions</w:t>
      </w:r>
      <w:r w:rsidR="00AA6738">
        <w:rPr>
          <w:rFonts w:ascii="Arial" w:hAnsi="Arial" w:cs="Arial"/>
          <w:color w:val="000000" w:themeColor="text1"/>
          <w:sz w:val="22"/>
          <w:szCs w:val="22"/>
          <w:lang w:val="en-GB"/>
        </w:rPr>
        <w:t>.</w:t>
      </w:r>
    </w:p>
    <w:p w14:paraId="57BE74E6" w14:textId="409779F7" w:rsidR="001F22F4" w:rsidRPr="00CC2793" w:rsidRDefault="001F22F4" w:rsidP="00D1302A">
      <w:pPr>
        <w:rPr>
          <w:rFonts w:ascii="Arial" w:hAnsi="Arial" w:cs="Arial"/>
          <w:sz w:val="22"/>
          <w:szCs w:val="22"/>
          <w:lang w:val="en-GB"/>
        </w:rPr>
      </w:pPr>
    </w:p>
    <w:p w14:paraId="0E2ECD7A" w14:textId="56FCED2B" w:rsidR="003140F1" w:rsidRDefault="001F22F4" w:rsidP="00D1302A">
      <w:pPr>
        <w:rPr>
          <w:rFonts w:ascii="Arial" w:hAnsi="Arial" w:cs="Arial"/>
          <w:sz w:val="22"/>
          <w:szCs w:val="22"/>
          <w:lang w:val="en-GB"/>
        </w:rPr>
      </w:pPr>
      <w:r w:rsidRPr="00CC2793">
        <w:rPr>
          <w:rFonts w:ascii="Arial" w:hAnsi="Arial" w:cs="Arial"/>
          <w:sz w:val="22"/>
          <w:szCs w:val="22"/>
          <w:lang w:val="en-GB"/>
        </w:rPr>
        <w:t xml:space="preserve">Introduction of </w:t>
      </w:r>
      <w:r w:rsidR="008810B9">
        <w:rPr>
          <w:rFonts w:ascii="Arial" w:hAnsi="Arial" w:cs="Arial"/>
          <w:sz w:val="22"/>
          <w:szCs w:val="22"/>
          <w:lang w:val="en-GB"/>
        </w:rPr>
        <w:t>the</w:t>
      </w:r>
      <w:r w:rsidRPr="00CC2793">
        <w:rPr>
          <w:rFonts w:ascii="Arial" w:hAnsi="Arial" w:cs="Arial"/>
          <w:sz w:val="22"/>
          <w:szCs w:val="22"/>
          <w:lang w:val="en-GB"/>
        </w:rPr>
        <w:t xml:space="preserve"> Opinion would require a simple administrative process between the Secretariat and the Annex III</w:t>
      </w:r>
      <w:r w:rsidR="006447A2">
        <w:rPr>
          <w:rFonts w:ascii="Arial" w:hAnsi="Arial" w:cs="Arial"/>
          <w:sz w:val="22"/>
          <w:szCs w:val="22"/>
          <w:lang w:val="en-GB"/>
        </w:rPr>
        <w:t xml:space="preserve"> organisations</w:t>
      </w:r>
      <w:r w:rsidRPr="00CC2793">
        <w:rPr>
          <w:rFonts w:ascii="Arial" w:hAnsi="Arial" w:cs="Arial"/>
          <w:sz w:val="22"/>
          <w:szCs w:val="22"/>
          <w:lang w:val="en-GB"/>
        </w:rPr>
        <w:t>.</w:t>
      </w:r>
      <w:r w:rsidR="00455FE4" w:rsidRPr="00CC2793">
        <w:rPr>
          <w:rFonts w:ascii="Arial" w:hAnsi="Arial" w:cs="Arial"/>
          <w:sz w:val="22"/>
          <w:szCs w:val="22"/>
          <w:lang w:val="en-GB"/>
        </w:rPr>
        <w:t xml:space="preserve">  </w:t>
      </w:r>
      <w:r w:rsidR="009F0D39">
        <w:rPr>
          <w:rFonts w:ascii="Arial" w:hAnsi="Arial" w:cs="Arial"/>
          <w:sz w:val="22"/>
          <w:szCs w:val="22"/>
          <w:lang w:val="en-GB"/>
        </w:rPr>
        <w:t>A</w:t>
      </w:r>
      <w:r w:rsidR="00455FE4" w:rsidRPr="00CC2793">
        <w:rPr>
          <w:rFonts w:ascii="Arial" w:hAnsi="Arial" w:cs="Arial"/>
          <w:sz w:val="22"/>
          <w:szCs w:val="22"/>
          <w:lang w:val="en-GB"/>
        </w:rPr>
        <w:t>s well as the Opinion as such, th</w:t>
      </w:r>
      <w:r w:rsidR="008810B9">
        <w:rPr>
          <w:rFonts w:ascii="Arial" w:hAnsi="Arial" w:cs="Arial"/>
          <w:sz w:val="22"/>
          <w:szCs w:val="22"/>
          <w:lang w:val="en-GB"/>
        </w:rPr>
        <w:t>e</w:t>
      </w:r>
      <w:r w:rsidR="00455FE4" w:rsidRPr="00CC2793">
        <w:rPr>
          <w:rFonts w:ascii="Arial" w:hAnsi="Arial" w:cs="Arial"/>
          <w:sz w:val="22"/>
          <w:szCs w:val="22"/>
          <w:lang w:val="en-GB"/>
        </w:rPr>
        <w:t xml:space="preserve"> improved promotion of </w:t>
      </w:r>
      <w:r w:rsidR="008810B9">
        <w:rPr>
          <w:rFonts w:ascii="Arial" w:hAnsi="Arial" w:cs="Arial"/>
          <w:sz w:val="22"/>
          <w:szCs w:val="22"/>
          <w:lang w:val="en-GB"/>
        </w:rPr>
        <w:t xml:space="preserve">the </w:t>
      </w:r>
      <w:r w:rsidR="00455FE4" w:rsidRPr="00CC2793">
        <w:rPr>
          <w:rFonts w:ascii="Arial" w:hAnsi="Arial" w:cs="Arial"/>
          <w:sz w:val="22"/>
          <w:szCs w:val="22"/>
          <w:lang w:val="en-GB"/>
        </w:rPr>
        <w:t xml:space="preserve">Annex III </w:t>
      </w:r>
      <w:r w:rsidR="009E654F">
        <w:rPr>
          <w:rFonts w:ascii="Arial" w:hAnsi="Arial" w:cs="Arial"/>
          <w:sz w:val="22"/>
          <w:szCs w:val="22"/>
          <w:lang w:val="en-GB"/>
        </w:rPr>
        <w:t xml:space="preserve">organisations </w:t>
      </w:r>
      <w:r w:rsidR="00455FE4" w:rsidRPr="00CC2793">
        <w:rPr>
          <w:rFonts w:ascii="Arial" w:hAnsi="Arial" w:cs="Arial"/>
          <w:sz w:val="22"/>
          <w:szCs w:val="22"/>
          <w:lang w:val="en-GB"/>
        </w:rPr>
        <w:t>as part of the ETSI process</w:t>
      </w:r>
      <w:r w:rsidR="008810B9">
        <w:rPr>
          <w:rFonts w:ascii="Arial" w:hAnsi="Arial" w:cs="Arial"/>
          <w:sz w:val="22"/>
          <w:szCs w:val="22"/>
          <w:lang w:val="en-GB"/>
        </w:rPr>
        <w:t>es</w:t>
      </w:r>
      <w:r w:rsidR="00455FE4" w:rsidRPr="00CC2793">
        <w:rPr>
          <w:rFonts w:ascii="Arial" w:hAnsi="Arial" w:cs="Arial"/>
          <w:sz w:val="22"/>
          <w:szCs w:val="22"/>
          <w:lang w:val="en-GB"/>
        </w:rPr>
        <w:t xml:space="preserve"> would also be very welcome.</w:t>
      </w:r>
    </w:p>
    <w:p w14:paraId="402377CB" w14:textId="77777777" w:rsidR="003140F1" w:rsidRDefault="003140F1">
      <w:pPr>
        <w:rPr>
          <w:rFonts w:ascii="Arial" w:hAnsi="Arial" w:cs="Arial"/>
          <w:sz w:val="22"/>
          <w:szCs w:val="22"/>
          <w:lang w:val="en-GB"/>
        </w:rPr>
      </w:pPr>
      <w:r>
        <w:rPr>
          <w:rFonts w:ascii="Arial" w:hAnsi="Arial" w:cs="Arial"/>
          <w:sz w:val="22"/>
          <w:szCs w:val="22"/>
          <w:lang w:val="en-GB"/>
        </w:rPr>
        <w:br w:type="page"/>
      </w:r>
    </w:p>
    <w:p w14:paraId="497A74EF" w14:textId="24EAC7EE" w:rsidR="00455FE4" w:rsidRPr="00CC2793" w:rsidRDefault="00455FE4" w:rsidP="00D1302A">
      <w:pPr>
        <w:rPr>
          <w:rFonts w:ascii="Arial" w:hAnsi="Arial" w:cs="Arial"/>
          <w:b/>
          <w:bCs/>
          <w:sz w:val="22"/>
          <w:szCs w:val="22"/>
          <w:lang w:val="en-GB"/>
        </w:rPr>
      </w:pPr>
      <w:r w:rsidRPr="00CC2793">
        <w:rPr>
          <w:rFonts w:ascii="Arial" w:hAnsi="Arial" w:cs="Arial"/>
          <w:b/>
          <w:bCs/>
          <w:sz w:val="22"/>
          <w:szCs w:val="22"/>
          <w:lang w:val="en-GB"/>
        </w:rPr>
        <w:lastRenderedPageBreak/>
        <w:t>5.3     Being accessible</w:t>
      </w:r>
    </w:p>
    <w:p w14:paraId="093B1404" w14:textId="3A7B8F6E" w:rsidR="00455FE4" w:rsidRPr="00CC2793" w:rsidRDefault="00455FE4" w:rsidP="00D1302A">
      <w:pPr>
        <w:rPr>
          <w:rFonts w:ascii="Arial" w:hAnsi="Arial" w:cs="Arial"/>
          <w:b/>
          <w:bCs/>
          <w:sz w:val="22"/>
          <w:szCs w:val="22"/>
          <w:lang w:val="en-GB"/>
        </w:rPr>
      </w:pPr>
    </w:p>
    <w:p w14:paraId="59CDFA29" w14:textId="388D27D1" w:rsidR="001F22F4" w:rsidRDefault="00455FE4" w:rsidP="00D1302A">
      <w:pPr>
        <w:rPr>
          <w:rFonts w:ascii="Arial" w:hAnsi="Arial" w:cs="Arial"/>
          <w:sz w:val="22"/>
          <w:szCs w:val="22"/>
          <w:lang w:val="en-GB"/>
        </w:rPr>
      </w:pPr>
      <w:r w:rsidRPr="00CC2793">
        <w:rPr>
          <w:rFonts w:ascii="Arial" w:hAnsi="Arial" w:cs="Arial"/>
          <w:sz w:val="22"/>
          <w:szCs w:val="22"/>
          <w:lang w:val="en-GB"/>
        </w:rPr>
        <w:t>Action is already under way here, so it should be straightforward to ensure ETSI is accessible as possible in terms of its procedures and documentation, in line with the requirement of the European Accessibility Act.</w:t>
      </w:r>
    </w:p>
    <w:p w14:paraId="2CB4A88C" w14:textId="29B2BF7A" w:rsidR="0002782A" w:rsidRPr="00CC2793" w:rsidRDefault="0002782A" w:rsidP="00D1302A">
      <w:pPr>
        <w:rPr>
          <w:rFonts w:ascii="Arial" w:hAnsi="Arial" w:cs="Arial"/>
          <w:sz w:val="22"/>
          <w:szCs w:val="22"/>
          <w:lang w:val="en-GB"/>
        </w:rPr>
      </w:pPr>
    </w:p>
    <w:p w14:paraId="49688323" w14:textId="2013BE1D" w:rsidR="0002782A" w:rsidRPr="0069277E" w:rsidRDefault="0002782A" w:rsidP="00D1302A">
      <w:pPr>
        <w:rPr>
          <w:rFonts w:ascii="Arial" w:hAnsi="Arial" w:cs="Arial"/>
          <w:b/>
          <w:bCs/>
          <w:sz w:val="22"/>
          <w:szCs w:val="22"/>
          <w:lang w:val="en-GB"/>
        </w:rPr>
      </w:pPr>
      <w:r w:rsidRPr="0069277E">
        <w:rPr>
          <w:rFonts w:ascii="Arial" w:hAnsi="Arial" w:cs="Arial"/>
          <w:b/>
          <w:bCs/>
          <w:sz w:val="22"/>
          <w:szCs w:val="22"/>
          <w:lang w:val="en-GB"/>
        </w:rPr>
        <w:t xml:space="preserve">5.4    </w:t>
      </w:r>
      <w:r w:rsidR="0069277E" w:rsidRPr="00D83DA4">
        <w:rPr>
          <w:rFonts w:ascii="Arial" w:hAnsi="Arial" w:cs="Arial"/>
          <w:b/>
          <w:bCs/>
          <w:sz w:val="22"/>
          <w:szCs w:val="22"/>
          <w:lang w:val="en-GB"/>
        </w:rPr>
        <w:t>Collective representation</w:t>
      </w:r>
    </w:p>
    <w:p w14:paraId="1FF35D10" w14:textId="77777777" w:rsidR="009F0D39" w:rsidRPr="0069277E" w:rsidRDefault="009F0D39" w:rsidP="00D1302A">
      <w:pPr>
        <w:rPr>
          <w:rFonts w:ascii="Arial" w:hAnsi="Arial" w:cs="Arial"/>
          <w:sz w:val="22"/>
          <w:szCs w:val="22"/>
          <w:lang w:val="en-GB"/>
        </w:rPr>
      </w:pPr>
    </w:p>
    <w:p w14:paraId="326C956E" w14:textId="39872247" w:rsidR="00A57C22" w:rsidRPr="00D32C6B" w:rsidRDefault="00A57C22" w:rsidP="00A57C22">
      <w:pPr>
        <w:rPr>
          <w:rFonts w:ascii="Arial" w:hAnsi="Arial" w:cs="Arial"/>
          <w:color w:val="000000"/>
          <w:sz w:val="22"/>
          <w:szCs w:val="22"/>
          <w:lang w:val="en-US"/>
        </w:rPr>
      </w:pPr>
      <w:r w:rsidRPr="00D32C6B">
        <w:rPr>
          <w:rFonts w:ascii="Arial" w:hAnsi="Arial" w:cs="Arial"/>
          <w:color w:val="000000"/>
          <w:sz w:val="22"/>
          <w:szCs w:val="22"/>
          <w:lang w:val="en-US"/>
        </w:rPr>
        <w:t xml:space="preserve">ETSI should facilitate the collective </w:t>
      </w:r>
      <w:proofErr w:type="spellStart"/>
      <w:r w:rsidRPr="00D32C6B">
        <w:rPr>
          <w:rFonts w:ascii="Arial" w:hAnsi="Arial" w:cs="Arial"/>
          <w:color w:val="000000"/>
          <w:sz w:val="22"/>
          <w:szCs w:val="22"/>
          <w:lang w:val="en-US"/>
        </w:rPr>
        <w:t>organisation</w:t>
      </w:r>
      <w:proofErr w:type="spellEnd"/>
      <w:r w:rsidRPr="00D32C6B">
        <w:rPr>
          <w:rFonts w:ascii="Arial" w:hAnsi="Arial" w:cs="Arial"/>
          <w:color w:val="000000"/>
          <w:sz w:val="22"/>
          <w:szCs w:val="22"/>
          <w:lang w:val="en-US"/>
        </w:rPr>
        <w:t xml:space="preserve"> and representation of under-represented stakeholders under the umbrella of the relevant Annex III </w:t>
      </w:r>
      <w:proofErr w:type="spellStart"/>
      <w:r w:rsidRPr="00D32C6B">
        <w:rPr>
          <w:rFonts w:ascii="Arial" w:hAnsi="Arial" w:cs="Arial"/>
          <w:color w:val="000000"/>
          <w:sz w:val="22"/>
          <w:szCs w:val="22"/>
          <w:lang w:val="en-US"/>
        </w:rPr>
        <w:t>organisation</w:t>
      </w:r>
      <w:proofErr w:type="spellEnd"/>
      <w:r w:rsidRPr="00D32C6B">
        <w:rPr>
          <w:rFonts w:ascii="Arial" w:hAnsi="Arial" w:cs="Arial"/>
          <w:color w:val="000000"/>
          <w:sz w:val="22"/>
          <w:szCs w:val="22"/>
          <w:lang w:val="en-US"/>
        </w:rPr>
        <w:t xml:space="preserve">. The creation of specific groups with dedicated mailing lists relating to Annex III organisations would facilitate communication with among organisations involved in ETSI and belonging to the different stakeholder categories represented by the Annex III </w:t>
      </w:r>
      <w:proofErr w:type="spellStart"/>
      <w:r w:rsidRPr="00D32C6B">
        <w:rPr>
          <w:rFonts w:ascii="Arial" w:hAnsi="Arial" w:cs="Arial"/>
          <w:color w:val="000000"/>
          <w:sz w:val="22"/>
          <w:szCs w:val="22"/>
          <w:lang w:val="en-US"/>
        </w:rPr>
        <w:t>organsiations</w:t>
      </w:r>
      <w:proofErr w:type="spellEnd"/>
      <w:r w:rsidRPr="00D32C6B">
        <w:rPr>
          <w:rFonts w:ascii="Arial" w:hAnsi="Arial" w:cs="Arial"/>
          <w:color w:val="000000"/>
          <w:sz w:val="22"/>
          <w:szCs w:val="22"/>
          <w:lang w:val="en-US"/>
        </w:rPr>
        <w:t>. This would allow the stakeholder categories to share information among</w:t>
      </w:r>
      <w:r w:rsidR="000960B3">
        <w:rPr>
          <w:rFonts w:ascii="Arial" w:hAnsi="Arial" w:cs="Arial"/>
          <w:color w:val="000000"/>
          <w:sz w:val="22"/>
          <w:szCs w:val="22"/>
          <w:lang w:val="en-US"/>
        </w:rPr>
        <w:t>st</w:t>
      </w:r>
      <w:r w:rsidRPr="00D32C6B">
        <w:rPr>
          <w:rFonts w:ascii="Arial" w:hAnsi="Arial" w:cs="Arial"/>
          <w:color w:val="000000"/>
          <w:sz w:val="22"/>
          <w:szCs w:val="22"/>
          <w:lang w:val="en-US"/>
        </w:rPr>
        <w:t xml:space="preserve"> themselves and potentially share resources with other members of the same category, facilitating in this way their active participation and involvement. The ETSI members in the relevant stakeholder category could also </w:t>
      </w:r>
      <w:r w:rsidR="00C60821">
        <w:rPr>
          <w:rFonts w:ascii="Arial" w:hAnsi="Arial" w:cs="Arial"/>
          <w:color w:val="000000"/>
          <w:sz w:val="22"/>
          <w:szCs w:val="22"/>
          <w:lang w:val="en-US"/>
        </w:rPr>
        <w:t>thus</w:t>
      </w:r>
      <w:r w:rsidRPr="00D32C6B">
        <w:rPr>
          <w:rFonts w:ascii="Arial" w:hAnsi="Arial" w:cs="Arial"/>
          <w:color w:val="000000"/>
          <w:sz w:val="22"/>
          <w:szCs w:val="22"/>
          <w:lang w:val="en-US"/>
        </w:rPr>
        <w:t xml:space="preserve"> more easily benefit from </w:t>
      </w:r>
      <w:proofErr w:type="gramStart"/>
      <w:r w:rsidRPr="00D32C6B">
        <w:rPr>
          <w:rFonts w:ascii="Arial" w:hAnsi="Arial" w:cs="Arial"/>
          <w:color w:val="000000"/>
          <w:sz w:val="22"/>
          <w:szCs w:val="22"/>
          <w:lang w:val="en-US"/>
        </w:rPr>
        <w:t>the  work</w:t>
      </w:r>
      <w:proofErr w:type="gramEnd"/>
      <w:r w:rsidRPr="00D32C6B">
        <w:rPr>
          <w:rFonts w:ascii="Arial" w:hAnsi="Arial" w:cs="Arial"/>
          <w:color w:val="000000"/>
          <w:sz w:val="22"/>
          <w:szCs w:val="22"/>
          <w:lang w:val="en-US"/>
        </w:rPr>
        <w:t xml:space="preserve"> done by the Annex III organisations under EU funding.</w:t>
      </w:r>
    </w:p>
    <w:p w14:paraId="2B47221A" w14:textId="77777777" w:rsidR="00A57C22" w:rsidRPr="00D32C6B" w:rsidRDefault="00A57C22" w:rsidP="00A57C22">
      <w:pPr>
        <w:rPr>
          <w:rFonts w:ascii="Arial" w:hAnsi="Arial" w:cs="Arial"/>
          <w:sz w:val="22"/>
          <w:szCs w:val="22"/>
          <w:lang w:val="en-US"/>
        </w:rPr>
      </w:pPr>
    </w:p>
    <w:p w14:paraId="5F4AA8E5" w14:textId="27BC9A84" w:rsidR="00695845" w:rsidRPr="00CC2793" w:rsidRDefault="00695845" w:rsidP="00B86139">
      <w:pPr>
        <w:rPr>
          <w:rFonts w:ascii="Arial" w:hAnsi="Arial" w:cs="Arial"/>
          <w:b/>
          <w:bCs/>
          <w:color w:val="000000" w:themeColor="text1"/>
          <w:sz w:val="22"/>
          <w:szCs w:val="22"/>
          <w:lang w:val="en-GB"/>
        </w:rPr>
      </w:pPr>
      <w:r w:rsidRPr="00CC2793">
        <w:rPr>
          <w:rFonts w:ascii="Arial" w:hAnsi="Arial" w:cs="Arial"/>
          <w:b/>
          <w:bCs/>
          <w:color w:val="000000" w:themeColor="text1"/>
          <w:sz w:val="22"/>
          <w:szCs w:val="22"/>
          <w:lang w:val="en-GB"/>
        </w:rPr>
        <w:t>5.5</w:t>
      </w:r>
      <w:r w:rsidRPr="00CC2793">
        <w:rPr>
          <w:rFonts w:ascii="Arial" w:hAnsi="Arial" w:cs="Arial"/>
          <w:b/>
          <w:bCs/>
          <w:color w:val="000000" w:themeColor="text1"/>
          <w:sz w:val="22"/>
          <w:szCs w:val="22"/>
          <w:lang w:val="en-GB"/>
        </w:rPr>
        <w:tab/>
        <w:t>A dedicated budget</w:t>
      </w:r>
    </w:p>
    <w:p w14:paraId="0980857C" w14:textId="228D9D1F" w:rsidR="00695845" w:rsidRPr="00CC2793" w:rsidRDefault="00695845" w:rsidP="00B86139">
      <w:pPr>
        <w:rPr>
          <w:rFonts w:ascii="Arial" w:hAnsi="Arial" w:cs="Arial"/>
          <w:b/>
          <w:bCs/>
          <w:color w:val="000000" w:themeColor="text1"/>
          <w:sz w:val="22"/>
          <w:szCs w:val="22"/>
          <w:lang w:val="en-GB"/>
        </w:rPr>
      </w:pPr>
    </w:p>
    <w:p w14:paraId="20620A97" w14:textId="77777777" w:rsidR="00A502F9" w:rsidRDefault="00695845" w:rsidP="00B86139">
      <w:pPr>
        <w:rPr>
          <w:rFonts w:ascii="Arial" w:hAnsi="Arial" w:cs="Arial"/>
          <w:color w:val="000000" w:themeColor="text1"/>
          <w:sz w:val="22"/>
          <w:szCs w:val="22"/>
          <w:lang w:val="en-GB"/>
        </w:rPr>
      </w:pPr>
      <w:r w:rsidRPr="00CC2793">
        <w:rPr>
          <w:rFonts w:ascii="Arial" w:hAnsi="Arial" w:cs="Arial"/>
          <w:color w:val="000000" w:themeColor="text1"/>
          <w:sz w:val="22"/>
          <w:szCs w:val="22"/>
          <w:lang w:val="en-GB"/>
        </w:rPr>
        <w:t>It would make sense to dedicate a specific budget for actions on inclusiveness to be used to implement proposals from the Annex III organisations and other relevant stakeholder categories.  This could be used to finance initiatives such as studies, communications material, events and training</w:t>
      </w:r>
      <w:r w:rsidR="006605C2">
        <w:rPr>
          <w:rFonts w:ascii="Arial" w:hAnsi="Arial" w:cs="Arial"/>
          <w:color w:val="000000" w:themeColor="text1"/>
          <w:sz w:val="22"/>
          <w:szCs w:val="22"/>
          <w:lang w:val="en-GB"/>
        </w:rPr>
        <w:t xml:space="preserve"> (</w:t>
      </w:r>
      <w:r w:rsidRPr="00CC2793">
        <w:rPr>
          <w:rFonts w:ascii="Arial" w:hAnsi="Arial" w:cs="Arial"/>
          <w:color w:val="000000" w:themeColor="text1"/>
          <w:sz w:val="22"/>
          <w:szCs w:val="22"/>
          <w:lang w:val="en-GB"/>
        </w:rPr>
        <w:t>even pay a</w:t>
      </w:r>
      <w:r w:rsidR="006605C2">
        <w:rPr>
          <w:rFonts w:ascii="Arial" w:hAnsi="Arial" w:cs="Arial"/>
          <w:color w:val="000000" w:themeColor="text1"/>
          <w:sz w:val="22"/>
          <w:szCs w:val="22"/>
          <w:lang w:val="en-GB"/>
        </w:rPr>
        <w:t>n honorarium</w:t>
      </w:r>
      <w:r w:rsidRPr="00CC2793">
        <w:rPr>
          <w:rFonts w:ascii="Arial" w:hAnsi="Arial" w:cs="Arial"/>
          <w:color w:val="000000" w:themeColor="text1"/>
          <w:sz w:val="22"/>
          <w:szCs w:val="22"/>
          <w:lang w:val="en-GB"/>
        </w:rPr>
        <w:t xml:space="preserve"> </w:t>
      </w:r>
      <w:r w:rsidR="006605C2">
        <w:rPr>
          <w:rFonts w:ascii="Arial" w:hAnsi="Arial" w:cs="Arial"/>
          <w:color w:val="000000" w:themeColor="text1"/>
          <w:sz w:val="22"/>
          <w:szCs w:val="22"/>
          <w:lang w:val="en-GB"/>
        </w:rPr>
        <w:t>to</w:t>
      </w:r>
      <w:r w:rsidRPr="00CC2793">
        <w:rPr>
          <w:rFonts w:ascii="Arial" w:hAnsi="Arial" w:cs="Arial"/>
          <w:color w:val="000000" w:themeColor="text1"/>
          <w:sz w:val="22"/>
          <w:szCs w:val="22"/>
          <w:lang w:val="en-GB"/>
        </w:rPr>
        <w:t xml:space="preserve"> the 3SI Advocate!</w:t>
      </w:r>
      <w:r w:rsidR="006605C2">
        <w:rPr>
          <w:rFonts w:ascii="Arial" w:hAnsi="Arial" w:cs="Arial"/>
          <w:color w:val="000000" w:themeColor="text1"/>
          <w:sz w:val="22"/>
          <w:szCs w:val="22"/>
          <w:lang w:val="en-GB"/>
        </w:rPr>
        <w:t>).</w:t>
      </w:r>
      <w:r w:rsidR="00A502F9">
        <w:rPr>
          <w:rFonts w:ascii="Arial" w:hAnsi="Arial" w:cs="Arial"/>
          <w:color w:val="000000" w:themeColor="text1"/>
          <w:sz w:val="22"/>
          <w:szCs w:val="22"/>
          <w:lang w:val="en-GB"/>
        </w:rPr>
        <w:t xml:space="preserve"> </w:t>
      </w:r>
    </w:p>
    <w:p w14:paraId="366D5A47" w14:textId="77777777" w:rsidR="00A502F9" w:rsidRPr="00CC2793" w:rsidRDefault="00A502F9" w:rsidP="00B86139">
      <w:pPr>
        <w:rPr>
          <w:rFonts w:ascii="Arial" w:hAnsi="Arial" w:cs="Arial"/>
          <w:color w:val="000000" w:themeColor="text1"/>
          <w:sz w:val="22"/>
          <w:szCs w:val="22"/>
          <w:lang w:val="en-GB"/>
        </w:rPr>
      </w:pPr>
    </w:p>
    <w:p w14:paraId="3C0E4DFF" w14:textId="0BD2F76C" w:rsidR="00F919AD" w:rsidRPr="00CC2793" w:rsidRDefault="00F919AD" w:rsidP="00B86139">
      <w:pPr>
        <w:rPr>
          <w:rFonts w:ascii="Arial" w:hAnsi="Arial" w:cs="Arial"/>
          <w:color w:val="000000" w:themeColor="text1"/>
          <w:sz w:val="22"/>
          <w:szCs w:val="22"/>
          <w:lang w:val="en-GB"/>
        </w:rPr>
      </w:pPr>
    </w:p>
    <w:p w14:paraId="376A9E29" w14:textId="16734D5A" w:rsidR="00F919AD" w:rsidRPr="00CC2793" w:rsidRDefault="00F919AD" w:rsidP="00B86139">
      <w:pPr>
        <w:rPr>
          <w:rFonts w:ascii="Arial" w:hAnsi="Arial" w:cs="Arial"/>
          <w:b/>
          <w:bCs/>
          <w:color w:val="000000" w:themeColor="text1"/>
          <w:sz w:val="22"/>
          <w:szCs w:val="22"/>
          <w:lang w:val="en-GB"/>
        </w:rPr>
      </w:pPr>
      <w:r w:rsidRPr="00CC2793">
        <w:rPr>
          <w:rFonts w:ascii="Arial" w:hAnsi="Arial" w:cs="Arial"/>
          <w:b/>
          <w:bCs/>
          <w:color w:val="000000" w:themeColor="text1"/>
          <w:sz w:val="22"/>
          <w:szCs w:val="22"/>
          <w:lang w:val="en-GB"/>
        </w:rPr>
        <w:t>5.6</w:t>
      </w:r>
      <w:r w:rsidRPr="00CC2793">
        <w:rPr>
          <w:rFonts w:ascii="Arial" w:hAnsi="Arial" w:cs="Arial"/>
          <w:b/>
          <w:bCs/>
          <w:color w:val="000000" w:themeColor="text1"/>
          <w:sz w:val="22"/>
          <w:szCs w:val="22"/>
          <w:lang w:val="en-GB"/>
        </w:rPr>
        <w:tab/>
        <w:t>Reporting</w:t>
      </w:r>
    </w:p>
    <w:p w14:paraId="2F22B0C3" w14:textId="77777777" w:rsidR="00B86139" w:rsidRPr="00CC2793" w:rsidRDefault="00B86139" w:rsidP="00D1302A">
      <w:pPr>
        <w:rPr>
          <w:rFonts w:ascii="Arial" w:hAnsi="Arial" w:cs="Arial"/>
          <w:sz w:val="22"/>
          <w:szCs w:val="22"/>
          <w:lang w:val="en-GB"/>
        </w:rPr>
      </w:pPr>
    </w:p>
    <w:p w14:paraId="0B3E0870" w14:textId="47796796" w:rsidR="00423AA7" w:rsidRDefault="00305380" w:rsidP="00F919AD">
      <w:pPr>
        <w:rPr>
          <w:rFonts w:ascii="Arial" w:hAnsi="Arial" w:cs="Arial"/>
          <w:color w:val="000000" w:themeColor="text1"/>
          <w:sz w:val="22"/>
          <w:szCs w:val="22"/>
          <w:lang w:val="en-GB"/>
        </w:rPr>
      </w:pPr>
      <w:r>
        <w:rPr>
          <w:rFonts w:ascii="Arial" w:hAnsi="Arial" w:cs="Arial"/>
          <w:color w:val="000000" w:themeColor="text1"/>
          <w:sz w:val="22"/>
          <w:szCs w:val="22"/>
          <w:lang w:val="en-GB"/>
        </w:rPr>
        <w:t>T</w:t>
      </w:r>
      <w:r w:rsidR="00F919AD" w:rsidRPr="00CC2793">
        <w:rPr>
          <w:rFonts w:ascii="Arial" w:hAnsi="Arial" w:cs="Arial"/>
          <w:color w:val="000000" w:themeColor="text1"/>
          <w:sz w:val="22"/>
          <w:szCs w:val="22"/>
          <w:lang w:val="en-GB"/>
        </w:rPr>
        <w:t xml:space="preserve">he Annex III </w:t>
      </w:r>
      <w:r w:rsidR="00494EB3">
        <w:rPr>
          <w:rFonts w:ascii="Arial" w:hAnsi="Arial" w:cs="Arial"/>
          <w:color w:val="000000" w:themeColor="text1"/>
          <w:sz w:val="22"/>
          <w:szCs w:val="22"/>
          <w:lang w:val="en-GB"/>
        </w:rPr>
        <w:t>organisations</w:t>
      </w:r>
      <w:r w:rsidR="00423AA7" w:rsidRPr="00CC2793">
        <w:rPr>
          <w:rFonts w:ascii="Arial" w:hAnsi="Arial" w:cs="Arial"/>
          <w:color w:val="000000" w:themeColor="text1"/>
          <w:sz w:val="22"/>
          <w:szCs w:val="22"/>
          <w:lang w:val="en-GB"/>
        </w:rPr>
        <w:t xml:space="preserve"> </w:t>
      </w:r>
      <w:r w:rsidR="001726A5">
        <w:rPr>
          <w:rFonts w:ascii="Arial" w:hAnsi="Arial" w:cs="Arial"/>
          <w:color w:val="000000" w:themeColor="text1"/>
          <w:sz w:val="22"/>
          <w:szCs w:val="22"/>
          <w:lang w:val="en-GB"/>
        </w:rPr>
        <w:t xml:space="preserve">believe </w:t>
      </w:r>
      <w:r w:rsidR="00423AA7" w:rsidRPr="00CC2793">
        <w:rPr>
          <w:rFonts w:ascii="Arial" w:hAnsi="Arial" w:cs="Arial"/>
          <w:color w:val="000000" w:themeColor="text1"/>
          <w:sz w:val="22"/>
          <w:szCs w:val="22"/>
          <w:lang w:val="en-GB"/>
        </w:rPr>
        <w:t>there should be a p</w:t>
      </w:r>
      <w:r w:rsidR="00F919AD" w:rsidRPr="00CC2793">
        <w:rPr>
          <w:rFonts w:ascii="Arial" w:hAnsi="Arial" w:cs="Arial"/>
          <w:color w:val="000000" w:themeColor="text1"/>
          <w:sz w:val="22"/>
          <w:szCs w:val="22"/>
          <w:lang w:val="en-GB"/>
        </w:rPr>
        <w:t>eriodic report</w:t>
      </w:r>
      <w:r w:rsidR="00423AA7" w:rsidRPr="00CC2793">
        <w:rPr>
          <w:rFonts w:ascii="Arial" w:hAnsi="Arial" w:cs="Arial"/>
          <w:color w:val="000000" w:themeColor="text1"/>
          <w:sz w:val="22"/>
          <w:szCs w:val="22"/>
          <w:lang w:val="en-GB"/>
        </w:rPr>
        <w:t xml:space="preserve"> </w:t>
      </w:r>
      <w:r w:rsidR="00F919AD" w:rsidRPr="00CC2793">
        <w:rPr>
          <w:rFonts w:ascii="Arial" w:hAnsi="Arial" w:cs="Arial"/>
          <w:color w:val="000000" w:themeColor="text1"/>
          <w:sz w:val="22"/>
          <w:szCs w:val="22"/>
          <w:lang w:val="en-GB"/>
        </w:rPr>
        <w:t xml:space="preserve">by the ETSI DG on the </w:t>
      </w:r>
      <w:r>
        <w:rPr>
          <w:rFonts w:ascii="Arial" w:hAnsi="Arial" w:cs="Arial"/>
          <w:color w:val="000000" w:themeColor="text1"/>
          <w:sz w:val="22"/>
          <w:szCs w:val="22"/>
          <w:lang w:val="en-GB"/>
        </w:rPr>
        <w:t xml:space="preserve">progress made in </w:t>
      </w:r>
      <w:r w:rsidR="001820A0">
        <w:rPr>
          <w:rFonts w:ascii="Arial" w:hAnsi="Arial" w:cs="Arial"/>
          <w:color w:val="000000" w:themeColor="text1"/>
          <w:sz w:val="22"/>
          <w:szCs w:val="22"/>
          <w:lang w:val="en-GB"/>
        </w:rPr>
        <w:t>achieving</w:t>
      </w:r>
      <w:r>
        <w:rPr>
          <w:rFonts w:ascii="Arial" w:hAnsi="Arial" w:cs="Arial"/>
          <w:color w:val="000000" w:themeColor="text1"/>
          <w:sz w:val="22"/>
          <w:szCs w:val="22"/>
          <w:lang w:val="en-GB"/>
        </w:rPr>
        <w:t xml:space="preserve"> ETSI’s </w:t>
      </w:r>
      <w:r w:rsidR="00F919AD" w:rsidRPr="00CC2793">
        <w:rPr>
          <w:rFonts w:ascii="Arial" w:hAnsi="Arial" w:cs="Arial"/>
          <w:color w:val="000000" w:themeColor="text1"/>
          <w:sz w:val="22"/>
          <w:szCs w:val="22"/>
          <w:lang w:val="en-GB"/>
        </w:rPr>
        <w:t>objectives</w:t>
      </w:r>
      <w:r>
        <w:rPr>
          <w:rFonts w:ascii="Arial" w:hAnsi="Arial" w:cs="Arial"/>
          <w:color w:val="000000" w:themeColor="text1"/>
          <w:sz w:val="22"/>
          <w:szCs w:val="22"/>
          <w:lang w:val="en-GB"/>
        </w:rPr>
        <w:t xml:space="preserve"> on inclusiveness</w:t>
      </w:r>
      <w:r w:rsidR="001820A0">
        <w:rPr>
          <w:rFonts w:ascii="Arial" w:hAnsi="Arial" w:cs="Arial"/>
          <w:color w:val="000000" w:themeColor="text1"/>
          <w:sz w:val="22"/>
          <w:szCs w:val="22"/>
          <w:lang w:val="en-GB"/>
        </w:rPr>
        <w:t>.</w:t>
      </w:r>
      <w:r w:rsidR="00423AA7" w:rsidRPr="00CC2793">
        <w:rPr>
          <w:rFonts w:ascii="Arial" w:hAnsi="Arial" w:cs="Arial"/>
          <w:color w:val="000000" w:themeColor="text1"/>
          <w:sz w:val="22"/>
          <w:szCs w:val="22"/>
          <w:lang w:val="en-GB"/>
        </w:rPr>
        <w:t xml:space="preserve">  Such a report would include the use of resources supporting inclusiveness.</w:t>
      </w:r>
    </w:p>
    <w:p w14:paraId="1787C8A0" w14:textId="1897B844" w:rsidR="00A67A0A" w:rsidRDefault="00A67A0A" w:rsidP="00F919AD">
      <w:pPr>
        <w:rPr>
          <w:rFonts w:ascii="Arial" w:hAnsi="Arial" w:cs="Arial"/>
          <w:color w:val="000000" w:themeColor="text1"/>
          <w:sz w:val="22"/>
          <w:szCs w:val="22"/>
          <w:lang w:val="en-GB"/>
        </w:rPr>
      </w:pPr>
    </w:p>
    <w:p w14:paraId="0F84CE51" w14:textId="77777777" w:rsidR="00A67A0A" w:rsidRDefault="00A67A0A" w:rsidP="00F919AD">
      <w:pPr>
        <w:rPr>
          <w:rFonts w:ascii="Arial" w:hAnsi="Arial" w:cs="Arial"/>
          <w:color w:val="000000" w:themeColor="text1"/>
          <w:sz w:val="22"/>
          <w:szCs w:val="22"/>
          <w:lang w:val="en-GB"/>
        </w:rPr>
      </w:pPr>
    </w:p>
    <w:p w14:paraId="5A3588D2" w14:textId="05D14A06" w:rsidR="00A67A0A" w:rsidRPr="000605EF" w:rsidRDefault="00A67A0A" w:rsidP="00A67A0A">
      <w:pPr>
        <w:rPr>
          <w:rFonts w:ascii="Arial" w:hAnsi="Arial" w:cs="Arial"/>
          <w:b/>
          <w:bCs/>
          <w:sz w:val="22"/>
          <w:szCs w:val="22"/>
          <w:lang w:val="en-GB"/>
        </w:rPr>
      </w:pPr>
      <w:r>
        <w:rPr>
          <w:rFonts w:ascii="Arial" w:hAnsi="Arial" w:cs="Arial"/>
          <w:b/>
          <w:bCs/>
          <w:sz w:val="22"/>
          <w:szCs w:val="22"/>
          <w:lang w:val="en-GB"/>
        </w:rPr>
        <w:t>5</w:t>
      </w:r>
      <w:r w:rsidRPr="000605EF">
        <w:rPr>
          <w:rFonts w:ascii="Arial" w:hAnsi="Arial" w:cs="Arial"/>
          <w:b/>
          <w:bCs/>
          <w:sz w:val="22"/>
          <w:szCs w:val="22"/>
          <w:lang w:val="en-GB"/>
        </w:rPr>
        <w:t>.</w:t>
      </w:r>
      <w:r>
        <w:rPr>
          <w:rFonts w:ascii="Arial" w:hAnsi="Arial" w:cs="Arial"/>
          <w:b/>
          <w:bCs/>
          <w:sz w:val="22"/>
          <w:szCs w:val="22"/>
          <w:lang w:val="en-GB"/>
        </w:rPr>
        <w:t>7</w:t>
      </w:r>
      <w:r w:rsidRPr="000605EF">
        <w:rPr>
          <w:rFonts w:ascii="Arial" w:hAnsi="Arial" w:cs="Arial"/>
          <w:b/>
          <w:bCs/>
          <w:sz w:val="22"/>
          <w:szCs w:val="22"/>
          <w:lang w:val="en-GB"/>
        </w:rPr>
        <w:t xml:space="preserve"> </w:t>
      </w:r>
      <w:r w:rsidR="004E0D22">
        <w:rPr>
          <w:rFonts w:ascii="Arial" w:hAnsi="Arial" w:cs="Arial"/>
          <w:b/>
          <w:bCs/>
          <w:sz w:val="22"/>
          <w:szCs w:val="22"/>
          <w:lang w:val="en-GB"/>
        </w:rPr>
        <w:tab/>
      </w:r>
      <w:r w:rsidRPr="000605EF">
        <w:rPr>
          <w:rFonts w:ascii="Arial" w:hAnsi="Arial" w:cs="Arial"/>
          <w:b/>
          <w:bCs/>
          <w:sz w:val="22"/>
          <w:szCs w:val="22"/>
          <w:lang w:val="en-GB"/>
        </w:rPr>
        <w:t>Consensus building</w:t>
      </w:r>
    </w:p>
    <w:p w14:paraId="52CECE22" w14:textId="77777777" w:rsidR="00A67A0A" w:rsidRPr="000605EF" w:rsidRDefault="00A67A0A" w:rsidP="00A67A0A">
      <w:pPr>
        <w:rPr>
          <w:rFonts w:ascii="Arial" w:hAnsi="Arial" w:cs="Arial"/>
          <w:sz w:val="22"/>
          <w:szCs w:val="22"/>
          <w:lang w:val="en-GB"/>
        </w:rPr>
      </w:pPr>
    </w:p>
    <w:p w14:paraId="62C6D321" w14:textId="1329AE94" w:rsidR="00A67A0A" w:rsidRDefault="00A67A0A" w:rsidP="00A67A0A">
      <w:pPr>
        <w:rPr>
          <w:rFonts w:ascii="Arial" w:hAnsi="Arial" w:cs="Arial"/>
          <w:sz w:val="22"/>
          <w:szCs w:val="22"/>
          <w:lang w:val="en-GB"/>
        </w:rPr>
      </w:pPr>
      <w:r>
        <w:rPr>
          <w:rFonts w:ascii="Arial" w:hAnsi="Arial" w:cs="Arial"/>
          <w:sz w:val="22"/>
          <w:szCs w:val="22"/>
          <w:lang w:val="en-GB"/>
        </w:rPr>
        <w:t>T</w:t>
      </w:r>
      <w:r w:rsidRPr="000605EF">
        <w:rPr>
          <w:rFonts w:ascii="Arial" w:hAnsi="Arial" w:cs="Arial"/>
          <w:sz w:val="22"/>
          <w:szCs w:val="22"/>
          <w:lang w:val="en-GB"/>
        </w:rPr>
        <w:t xml:space="preserve">he mechanism to address “sustained objection” to a proposed consensus </w:t>
      </w:r>
      <w:r>
        <w:rPr>
          <w:rFonts w:ascii="Arial" w:hAnsi="Arial" w:cs="Arial"/>
          <w:sz w:val="22"/>
          <w:szCs w:val="22"/>
          <w:lang w:val="en-GB"/>
        </w:rPr>
        <w:t xml:space="preserve">could be reviewed </w:t>
      </w:r>
      <w:proofErr w:type="gramStart"/>
      <w:r>
        <w:rPr>
          <w:rFonts w:ascii="Arial" w:hAnsi="Arial" w:cs="Arial"/>
          <w:sz w:val="22"/>
          <w:szCs w:val="22"/>
          <w:lang w:val="en-GB"/>
        </w:rPr>
        <w:t>taking into account</w:t>
      </w:r>
      <w:proofErr w:type="gramEnd"/>
      <w:r>
        <w:rPr>
          <w:rFonts w:ascii="Arial" w:hAnsi="Arial" w:cs="Arial"/>
          <w:sz w:val="22"/>
          <w:szCs w:val="22"/>
          <w:lang w:val="en-GB"/>
        </w:rPr>
        <w:t xml:space="preserve"> the status of Annex III organisations. The latter act as representatives of collective interests according to the provisions of Regulation 1025/2012 and are thereby subject to representativity and transparency requirements. Thus, when an Annex III organisation raises an objection to a proposed decision </w:t>
      </w:r>
      <w:r w:rsidR="000E29D0">
        <w:rPr>
          <w:rFonts w:ascii="Arial" w:hAnsi="Arial" w:cs="Arial"/>
          <w:sz w:val="22"/>
          <w:szCs w:val="22"/>
          <w:lang w:val="en-GB"/>
        </w:rPr>
        <w:t>which would have an</w:t>
      </w:r>
      <w:r>
        <w:rPr>
          <w:rFonts w:ascii="Arial" w:hAnsi="Arial" w:cs="Arial"/>
          <w:sz w:val="22"/>
          <w:szCs w:val="22"/>
          <w:lang w:val="en-GB"/>
        </w:rPr>
        <w:t xml:space="preserve"> impact on its constituency, such objection should always be regarded as a “sustained objection”. </w:t>
      </w:r>
    </w:p>
    <w:p w14:paraId="009E7E98" w14:textId="77777777" w:rsidR="00A67A0A" w:rsidRPr="009F0D39" w:rsidRDefault="00A67A0A" w:rsidP="00A67A0A">
      <w:pPr>
        <w:rPr>
          <w:rFonts w:ascii="Arial" w:hAnsi="Arial" w:cs="Arial"/>
          <w:sz w:val="22"/>
          <w:szCs w:val="22"/>
          <w:lang w:val="en-GB"/>
        </w:rPr>
      </w:pPr>
    </w:p>
    <w:p w14:paraId="7051FEA3" w14:textId="77777777" w:rsidR="00A67A0A" w:rsidRPr="00CC2793" w:rsidRDefault="00A67A0A" w:rsidP="00F919AD">
      <w:pPr>
        <w:rPr>
          <w:rFonts w:ascii="Arial" w:hAnsi="Arial" w:cs="Arial"/>
          <w:color w:val="000000" w:themeColor="text1"/>
          <w:sz w:val="22"/>
          <w:szCs w:val="22"/>
          <w:lang w:val="en-GB"/>
        </w:rPr>
      </w:pPr>
    </w:p>
    <w:p w14:paraId="669983DD" w14:textId="77777777" w:rsidR="00455FE4" w:rsidRPr="00CC2793" w:rsidRDefault="00455FE4" w:rsidP="00D1302A">
      <w:pPr>
        <w:rPr>
          <w:rFonts w:ascii="Arial" w:hAnsi="Arial" w:cs="Arial"/>
          <w:sz w:val="22"/>
          <w:szCs w:val="22"/>
          <w:lang w:val="en-GB"/>
        </w:rPr>
      </w:pPr>
    </w:p>
    <w:p w14:paraId="5E929C82" w14:textId="65ACF697" w:rsidR="001F22F4" w:rsidRPr="009F0D39" w:rsidRDefault="001F22F4" w:rsidP="00D1302A">
      <w:pPr>
        <w:rPr>
          <w:rFonts w:ascii="Arial" w:hAnsi="Arial" w:cs="Arial"/>
          <w:b/>
          <w:bCs/>
          <w:lang w:val="en-GB"/>
        </w:rPr>
      </w:pPr>
      <w:r w:rsidRPr="009F0D39">
        <w:rPr>
          <w:rFonts w:ascii="Arial" w:hAnsi="Arial" w:cs="Arial"/>
          <w:b/>
          <w:bCs/>
          <w:lang w:val="en-GB"/>
        </w:rPr>
        <w:t xml:space="preserve">6       </w:t>
      </w:r>
      <w:r w:rsidR="00BA1847">
        <w:rPr>
          <w:rFonts w:ascii="Arial" w:hAnsi="Arial" w:cs="Arial"/>
          <w:b/>
          <w:bCs/>
          <w:lang w:val="en-GB"/>
        </w:rPr>
        <w:t>Additional p</w:t>
      </w:r>
      <w:r w:rsidR="009741B3" w:rsidRPr="009741B3">
        <w:rPr>
          <w:rFonts w:ascii="Arial" w:hAnsi="Arial" w:cs="Arial"/>
          <w:b/>
          <w:bCs/>
          <w:lang w:val="en-GB"/>
        </w:rPr>
        <w:t>roposals requiring changes</w:t>
      </w:r>
    </w:p>
    <w:p w14:paraId="59D291DF" w14:textId="7E330F25" w:rsidR="001F22F4" w:rsidRPr="00CC2793" w:rsidRDefault="001F22F4" w:rsidP="00D1302A">
      <w:pPr>
        <w:rPr>
          <w:rFonts w:ascii="Arial" w:hAnsi="Arial" w:cs="Arial"/>
          <w:b/>
          <w:bCs/>
          <w:sz w:val="22"/>
          <w:szCs w:val="22"/>
          <w:lang w:val="en-GB"/>
        </w:rPr>
      </w:pPr>
    </w:p>
    <w:p w14:paraId="6171C541" w14:textId="56735BC2" w:rsidR="00122542" w:rsidRPr="00D83DA4" w:rsidRDefault="00122542" w:rsidP="00D1302A">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6.1 </w:t>
      </w:r>
      <w:r>
        <w:rPr>
          <w:rFonts w:ascii="Arial" w:hAnsi="Arial" w:cs="Arial"/>
          <w:b/>
          <w:bCs/>
          <w:color w:val="000000" w:themeColor="text1"/>
          <w:sz w:val="22"/>
          <w:szCs w:val="22"/>
          <w:lang w:val="en-GB"/>
        </w:rPr>
        <w:tab/>
      </w:r>
      <w:r w:rsidRPr="000605EF">
        <w:rPr>
          <w:rFonts w:ascii="Arial" w:hAnsi="Arial" w:cs="Arial"/>
          <w:b/>
          <w:bCs/>
          <w:color w:val="000000" w:themeColor="text1"/>
          <w:sz w:val="22"/>
          <w:szCs w:val="22"/>
          <w:lang w:val="en-GB"/>
        </w:rPr>
        <w:t>Board seats</w:t>
      </w:r>
    </w:p>
    <w:p w14:paraId="613B9DCB" w14:textId="77777777" w:rsidR="00122542" w:rsidRDefault="00122542" w:rsidP="00D1302A">
      <w:pPr>
        <w:rPr>
          <w:rFonts w:ascii="Arial" w:hAnsi="Arial" w:cs="Arial"/>
          <w:sz w:val="22"/>
          <w:szCs w:val="22"/>
          <w:lang w:val="en-GB"/>
        </w:rPr>
      </w:pPr>
    </w:p>
    <w:p w14:paraId="07D8F74E" w14:textId="04E1B078" w:rsidR="001F22F4" w:rsidRPr="009F0D39" w:rsidRDefault="00BF3386" w:rsidP="00D1302A">
      <w:pPr>
        <w:rPr>
          <w:rFonts w:ascii="Arial" w:hAnsi="Arial" w:cs="Arial"/>
          <w:sz w:val="22"/>
          <w:szCs w:val="22"/>
          <w:lang w:val="en-GB"/>
        </w:rPr>
      </w:pPr>
      <w:r w:rsidRPr="009F0D39">
        <w:rPr>
          <w:rFonts w:ascii="Arial" w:hAnsi="Arial" w:cs="Arial"/>
          <w:sz w:val="22"/>
          <w:szCs w:val="22"/>
          <w:lang w:val="en-GB"/>
        </w:rPr>
        <w:t>The European Standardization System</w:t>
      </w:r>
      <w:r w:rsidR="00740E47" w:rsidRPr="009F0D39">
        <w:rPr>
          <w:rFonts w:ascii="Arial" w:hAnsi="Arial" w:cs="Arial"/>
          <w:sz w:val="22"/>
          <w:szCs w:val="22"/>
          <w:lang w:val="en-GB"/>
        </w:rPr>
        <w:t xml:space="preserve"> is unique in giving a valuable say in its standardisation process to the views of </w:t>
      </w:r>
      <w:r w:rsidR="00B84F2E" w:rsidRPr="009F0D39">
        <w:rPr>
          <w:rFonts w:ascii="Arial" w:hAnsi="Arial" w:cs="Arial"/>
          <w:sz w:val="22"/>
          <w:szCs w:val="22"/>
          <w:lang w:val="en-GB"/>
        </w:rPr>
        <w:t>the</w:t>
      </w:r>
      <w:r w:rsidR="00D9357B" w:rsidRPr="009F0D39">
        <w:rPr>
          <w:rFonts w:ascii="Arial" w:hAnsi="Arial" w:cs="Arial"/>
          <w:sz w:val="22"/>
          <w:szCs w:val="22"/>
          <w:lang w:val="en-GB"/>
        </w:rPr>
        <w:t xml:space="preserve"> full range</w:t>
      </w:r>
      <w:r w:rsidR="00740E47" w:rsidRPr="009F0D39">
        <w:rPr>
          <w:rFonts w:ascii="Arial" w:hAnsi="Arial" w:cs="Arial"/>
          <w:sz w:val="22"/>
          <w:szCs w:val="22"/>
          <w:lang w:val="en-GB"/>
        </w:rPr>
        <w:t xml:space="preserve"> of stakeholders, and the ETSI structure has always sought to </w:t>
      </w:r>
      <w:r w:rsidR="002B5DB6" w:rsidRPr="009F0D39">
        <w:rPr>
          <w:rFonts w:ascii="Arial" w:hAnsi="Arial" w:cs="Arial"/>
          <w:sz w:val="22"/>
          <w:szCs w:val="22"/>
          <w:lang w:val="en-GB"/>
        </w:rPr>
        <w:t>recognise</w:t>
      </w:r>
      <w:r w:rsidR="00740E47" w:rsidRPr="009F0D39">
        <w:rPr>
          <w:rFonts w:ascii="Arial" w:hAnsi="Arial" w:cs="Arial"/>
          <w:sz w:val="22"/>
          <w:szCs w:val="22"/>
          <w:lang w:val="en-GB"/>
        </w:rPr>
        <w:t xml:space="preserve"> this </w:t>
      </w:r>
      <w:r w:rsidR="002B5DB6" w:rsidRPr="009F0D39">
        <w:rPr>
          <w:rFonts w:ascii="Arial" w:hAnsi="Arial" w:cs="Arial"/>
          <w:sz w:val="22"/>
          <w:szCs w:val="22"/>
          <w:lang w:val="en-GB"/>
        </w:rPr>
        <w:t xml:space="preserve">by creating different member categories.  But, if at first there was a reasonable balance between </w:t>
      </w:r>
      <w:r w:rsidR="00D9357B" w:rsidRPr="009F0D39">
        <w:rPr>
          <w:rFonts w:ascii="Arial" w:hAnsi="Arial" w:cs="Arial"/>
          <w:sz w:val="22"/>
          <w:szCs w:val="22"/>
          <w:lang w:val="en-GB"/>
        </w:rPr>
        <w:t xml:space="preserve">these </w:t>
      </w:r>
      <w:r w:rsidR="002B5DB6" w:rsidRPr="009F0D39">
        <w:rPr>
          <w:rFonts w:ascii="Arial" w:hAnsi="Arial" w:cs="Arial"/>
          <w:sz w:val="22"/>
          <w:szCs w:val="22"/>
          <w:lang w:val="en-GB"/>
        </w:rPr>
        <w:t>categories, the so-called “user” category</w:t>
      </w:r>
      <w:r w:rsidR="00B84F2E" w:rsidRPr="009F0D39">
        <w:rPr>
          <w:rFonts w:ascii="Arial" w:hAnsi="Arial" w:cs="Arial"/>
          <w:sz w:val="22"/>
          <w:szCs w:val="22"/>
          <w:lang w:val="en-GB"/>
        </w:rPr>
        <w:t xml:space="preserve"> (</w:t>
      </w:r>
      <w:r w:rsidR="002B5DB6" w:rsidRPr="009F0D39">
        <w:rPr>
          <w:rFonts w:ascii="Arial" w:hAnsi="Arial" w:cs="Arial"/>
          <w:sz w:val="22"/>
          <w:szCs w:val="22"/>
          <w:lang w:val="en-GB"/>
        </w:rPr>
        <w:t>which includes societal stakeholders and SMEs</w:t>
      </w:r>
      <w:r w:rsidR="00B84F2E" w:rsidRPr="009F0D39">
        <w:rPr>
          <w:rFonts w:ascii="Arial" w:hAnsi="Arial" w:cs="Arial"/>
          <w:sz w:val="22"/>
          <w:szCs w:val="22"/>
          <w:lang w:val="en-GB"/>
        </w:rPr>
        <w:t xml:space="preserve">) </w:t>
      </w:r>
      <w:r w:rsidR="002B5DB6" w:rsidRPr="009F0D39">
        <w:rPr>
          <w:rFonts w:ascii="Arial" w:hAnsi="Arial" w:cs="Arial"/>
          <w:sz w:val="22"/>
          <w:szCs w:val="22"/>
          <w:lang w:val="en-GB"/>
        </w:rPr>
        <w:t>has always been less significant</w:t>
      </w:r>
      <w:r w:rsidR="00D9357B" w:rsidRPr="009F0D39">
        <w:rPr>
          <w:rFonts w:ascii="Arial" w:hAnsi="Arial" w:cs="Arial"/>
          <w:sz w:val="22"/>
          <w:szCs w:val="22"/>
          <w:lang w:val="en-GB"/>
        </w:rPr>
        <w:t xml:space="preserve"> in terms of </w:t>
      </w:r>
      <w:r w:rsidR="00D9357B" w:rsidRPr="009F0D39">
        <w:rPr>
          <w:rFonts w:ascii="Arial" w:hAnsi="Arial" w:cs="Arial"/>
          <w:sz w:val="22"/>
          <w:szCs w:val="22"/>
          <w:lang w:val="en-GB"/>
        </w:rPr>
        <w:lastRenderedPageBreak/>
        <w:t>voting “power”</w:t>
      </w:r>
      <w:r w:rsidR="002B5DB6" w:rsidRPr="009F0D39">
        <w:rPr>
          <w:rFonts w:ascii="Arial" w:hAnsi="Arial" w:cs="Arial"/>
          <w:sz w:val="22"/>
          <w:szCs w:val="22"/>
          <w:lang w:val="en-GB"/>
        </w:rPr>
        <w:t>.  And, as t</w:t>
      </w:r>
      <w:r w:rsidR="00740E47" w:rsidRPr="009F0D39">
        <w:rPr>
          <w:rFonts w:ascii="Arial" w:hAnsi="Arial" w:cs="Arial"/>
          <w:sz w:val="22"/>
          <w:szCs w:val="22"/>
          <w:lang w:val="en-GB"/>
        </w:rPr>
        <w:t>he EU standardisation strategy recognises</w:t>
      </w:r>
      <w:r w:rsidR="002B5DB6" w:rsidRPr="009F0D39">
        <w:rPr>
          <w:rFonts w:ascii="Arial" w:hAnsi="Arial" w:cs="Arial"/>
          <w:sz w:val="22"/>
          <w:szCs w:val="22"/>
          <w:lang w:val="en-GB"/>
        </w:rPr>
        <w:t>, over the years the voting balance has become distorted in favour of larger industrial companies.</w:t>
      </w:r>
    </w:p>
    <w:p w14:paraId="555A0FDB" w14:textId="77777777" w:rsidR="009741B3" w:rsidRPr="00D83DA4" w:rsidRDefault="009741B3" w:rsidP="00BE5163">
      <w:pPr>
        <w:rPr>
          <w:rFonts w:ascii="Arial" w:hAnsi="Arial" w:cs="Arial"/>
          <w:b/>
          <w:bCs/>
          <w:color w:val="000000" w:themeColor="text1"/>
          <w:sz w:val="22"/>
          <w:szCs w:val="22"/>
          <w:lang w:val="en-GB"/>
        </w:rPr>
      </w:pPr>
    </w:p>
    <w:p w14:paraId="6D18DFE1" w14:textId="377CDD6A" w:rsidR="00BE5163" w:rsidRDefault="00BE5163" w:rsidP="00BE5163">
      <w:pPr>
        <w:rPr>
          <w:rFonts w:ascii="Arial" w:hAnsi="Arial" w:cs="Arial"/>
          <w:sz w:val="22"/>
          <w:szCs w:val="22"/>
          <w:lang w:val="en-GB"/>
        </w:rPr>
      </w:pPr>
      <w:r w:rsidRPr="009F0D39">
        <w:rPr>
          <w:rFonts w:ascii="Arial" w:hAnsi="Arial" w:cs="Arial"/>
          <w:sz w:val="22"/>
          <w:szCs w:val="22"/>
          <w:lang w:val="en-GB"/>
        </w:rPr>
        <w:t>O</w:t>
      </w:r>
      <w:r w:rsidRPr="00D83DA4">
        <w:rPr>
          <w:rFonts w:ascii="Arial" w:hAnsi="Arial" w:cs="Arial"/>
          <w:b/>
          <w:bCs/>
          <w:color w:val="000000" w:themeColor="text1"/>
          <w:sz w:val="22"/>
          <w:szCs w:val="22"/>
          <w:lang w:val="en-GB"/>
        </w:rPr>
        <w:t xml:space="preserve">ne </w:t>
      </w:r>
      <w:r w:rsidRPr="009F0D39">
        <w:rPr>
          <w:rFonts w:ascii="Arial" w:hAnsi="Arial" w:cs="Arial"/>
          <w:sz w:val="22"/>
          <w:szCs w:val="22"/>
          <w:lang w:val="en-GB"/>
        </w:rPr>
        <w:t xml:space="preserve">relatively easy improvement in terms of the Annex III “voice” would be to </w:t>
      </w:r>
      <w:r w:rsidRPr="000E29D0">
        <w:rPr>
          <w:rFonts w:ascii="Arial" w:hAnsi="Arial" w:cs="Arial"/>
          <w:b/>
          <w:bCs/>
          <w:sz w:val="22"/>
          <w:szCs w:val="22"/>
          <w:lang w:val="en-GB"/>
        </w:rPr>
        <w:t>set aside a Board seat</w:t>
      </w:r>
      <w:r w:rsidRPr="009F0D39">
        <w:rPr>
          <w:rFonts w:ascii="Arial" w:hAnsi="Arial" w:cs="Arial"/>
          <w:sz w:val="22"/>
          <w:szCs w:val="22"/>
          <w:lang w:val="en-GB"/>
        </w:rPr>
        <w:t xml:space="preserve"> in the next period for each of the recognised Annex III organisations.  This would simply require a change to the </w:t>
      </w:r>
      <w:proofErr w:type="spellStart"/>
      <w:r w:rsidRPr="009F0D39">
        <w:rPr>
          <w:rFonts w:ascii="Arial" w:hAnsi="Arial" w:cs="Arial"/>
          <w:sz w:val="22"/>
          <w:szCs w:val="22"/>
          <w:lang w:val="en-GB"/>
        </w:rPr>
        <w:t>RoP</w:t>
      </w:r>
      <w:proofErr w:type="spellEnd"/>
      <w:r w:rsidRPr="009F0D39">
        <w:rPr>
          <w:rFonts w:ascii="Arial" w:hAnsi="Arial" w:cs="Arial"/>
          <w:sz w:val="22"/>
          <w:szCs w:val="22"/>
          <w:lang w:val="en-GB"/>
        </w:rPr>
        <w:t>.  At present, only SMEs and “users” are guaranteed a presence – and “users” includes industrial users, who have often different requirements.</w:t>
      </w:r>
      <w:r w:rsidR="009741B3">
        <w:rPr>
          <w:rFonts w:ascii="Arial" w:hAnsi="Arial" w:cs="Arial"/>
          <w:sz w:val="22"/>
          <w:szCs w:val="22"/>
          <w:lang w:val="en-GB"/>
        </w:rPr>
        <w:t xml:space="preserve"> Moreover, the current seat</w:t>
      </w:r>
      <w:r w:rsidR="00B31236">
        <w:rPr>
          <w:rFonts w:ascii="Arial" w:hAnsi="Arial" w:cs="Arial"/>
          <w:sz w:val="22"/>
          <w:szCs w:val="22"/>
          <w:lang w:val="en-GB"/>
        </w:rPr>
        <w:t>s</w:t>
      </w:r>
      <w:r w:rsidR="009741B3">
        <w:rPr>
          <w:rFonts w:ascii="Arial" w:hAnsi="Arial" w:cs="Arial"/>
          <w:sz w:val="22"/>
          <w:szCs w:val="22"/>
          <w:lang w:val="en-GB"/>
        </w:rPr>
        <w:t xml:space="preserve"> for “SMEs” and “Users” do not provide any guarantee of a collective representation of such stakeholders</w:t>
      </w:r>
      <w:r w:rsidR="000E5323">
        <w:rPr>
          <w:rFonts w:ascii="Arial" w:hAnsi="Arial" w:cs="Arial"/>
          <w:sz w:val="22"/>
          <w:szCs w:val="22"/>
          <w:lang w:val="en-GB"/>
        </w:rPr>
        <w:t>, whereas</w:t>
      </w:r>
      <w:r w:rsidR="009741B3">
        <w:rPr>
          <w:rFonts w:ascii="Arial" w:hAnsi="Arial" w:cs="Arial"/>
          <w:sz w:val="22"/>
          <w:szCs w:val="22"/>
          <w:lang w:val="en-GB"/>
        </w:rPr>
        <w:t xml:space="preserve"> </w:t>
      </w:r>
      <w:r w:rsidR="000E5323">
        <w:rPr>
          <w:rFonts w:ascii="Arial" w:hAnsi="Arial" w:cs="Arial"/>
          <w:sz w:val="22"/>
          <w:szCs w:val="22"/>
          <w:lang w:val="en-GB"/>
        </w:rPr>
        <w:t xml:space="preserve">the </w:t>
      </w:r>
      <w:r w:rsidR="009741B3">
        <w:rPr>
          <w:rFonts w:ascii="Arial" w:hAnsi="Arial" w:cs="Arial"/>
          <w:sz w:val="22"/>
          <w:szCs w:val="22"/>
          <w:lang w:val="en-GB"/>
        </w:rPr>
        <w:t xml:space="preserve">Annex III organisations are subject to tough requirements in terms of representativity and transparency following the provisions of Regulation 1025/2012. </w:t>
      </w:r>
    </w:p>
    <w:p w14:paraId="6085D5A6" w14:textId="77777777" w:rsidR="009741B3" w:rsidRDefault="009741B3" w:rsidP="00B86139">
      <w:pPr>
        <w:rPr>
          <w:rFonts w:ascii="Arial" w:hAnsi="Arial" w:cs="Arial"/>
          <w:color w:val="000000" w:themeColor="text1"/>
          <w:sz w:val="22"/>
          <w:szCs w:val="22"/>
          <w:lang w:val="en-GB"/>
        </w:rPr>
      </w:pPr>
    </w:p>
    <w:p w14:paraId="59D76EA0" w14:textId="66A28906" w:rsidR="0058033F" w:rsidRDefault="0058033F" w:rsidP="00B86139">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6.2 </w:t>
      </w:r>
      <w:r w:rsidR="00122542">
        <w:rPr>
          <w:rFonts w:ascii="Arial" w:hAnsi="Arial" w:cs="Arial"/>
          <w:b/>
          <w:bCs/>
          <w:color w:val="000000" w:themeColor="text1"/>
          <w:sz w:val="22"/>
          <w:szCs w:val="22"/>
          <w:lang w:val="en-GB"/>
        </w:rPr>
        <w:t>V</w:t>
      </w:r>
      <w:r w:rsidRPr="009F0D39">
        <w:rPr>
          <w:rFonts w:ascii="Arial" w:hAnsi="Arial" w:cs="Arial"/>
          <w:b/>
          <w:bCs/>
          <w:color w:val="000000" w:themeColor="text1"/>
          <w:sz w:val="22"/>
          <w:szCs w:val="22"/>
          <w:lang w:val="en-GB"/>
        </w:rPr>
        <w:t>oting proxy rules</w:t>
      </w:r>
    </w:p>
    <w:p w14:paraId="42C7EC57" w14:textId="6F42266A" w:rsidR="0058033F" w:rsidRDefault="0058033F" w:rsidP="00B86139">
      <w:pPr>
        <w:rPr>
          <w:rFonts w:ascii="Arial" w:hAnsi="Arial" w:cs="Arial"/>
          <w:b/>
          <w:bCs/>
          <w:color w:val="000000" w:themeColor="text1"/>
          <w:sz w:val="22"/>
          <w:szCs w:val="22"/>
          <w:lang w:val="en-GB"/>
        </w:rPr>
      </w:pPr>
    </w:p>
    <w:p w14:paraId="57C8A34C" w14:textId="5CF829BE" w:rsidR="0058033F" w:rsidRPr="0058033F" w:rsidRDefault="0058033F" w:rsidP="00B86139">
      <w:pPr>
        <w:rPr>
          <w:rFonts w:ascii="Arial" w:hAnsi="Arial" w:cs="Arial"/>
          <w:color w:val="000000" w:themeColor="text1"/>
          <w:sz w:val="22"/>
          <w:szCs w:val="22"/>
          <w:lang w:val="en-GB"/>
        </w:rPr>
      </w:pPr>
      <w:r w:rsidRPr="00D83DA4">
        <w:rPr>
          <w:rFonts w:ascii="Arial" w:hAnsi="Arial" w:cs="Arial"/>
          <w:color w:val="000000" w:themeColor="text1"/>
          <w:sz w:val="22"/>
          <w:szCs w:val="22"/>
          <w:lang w:val="en-GB"/>
        </w:rPr>
        <w:t xml:space="preserve">Given their statutory roles of stakeholder representative associations, the Annex III organisations </w:t>
      </w:r>
      <w:r>
        <w:rPr>
          <w:rFonts w:ascii="Arial" w:hAnsi="Arial" w:cs="Arial"/>
          <w:color w:val="000000" w:themeColor="text1"/>
          <w:sz w:val="22"/>
          <w:szCs w:val="22"/>
          <w:lang w:val="en-GB"/>
        </w:rPr>
        <w:t xml:space="preserve">can </w:t>
      </w:r>
      <w:r w:rsidR="00C54060">
        <w:rPr>
          <w:rFonts w:ascii="Arial" w:hAnsi="Arial" w:cs="Arial"/>
          <w:color w:val="000000" w:themeColor="text1"/>
          <w:sz w:val="22"/>
          <w:szCs w:val="22"/>
          <w:lang w:val="en-GB"/>
        </w:rPr>
        <w:t>perform</w:t>
      </w:r>
      <w:r>
        <w:rPr>
          <w:rFonts w:ascii="Arial" w:hAnsi="Arial" w:cs="Arial"/>
          <w:color w:val="000000" w:themeColor="text1"/>
          <w:sz w:val="22"/>
          <w:szCs w:val="22"/>
          <w:lang w:val="en-GB"/>
        </w:rPr>
        <w:t xml:space="preserve"> a useful function of collective representation for their recognised stakeholder categories, which are typically under-represented in standardisation.  </w:t>
      </w:r>
    </w:p>
    <w:p w14:paraId="3C05ECEA" w14:textId="0F16A1F0" w:rsidR="00B86139" w:rsidRPr="009F0D39" w:rsidRDefault="0058033F" w:rsidP="00B86139">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 important </w:t>
      </w:r>
      <w:r w:rsidR="00B86139" w:rsidRPr="009F0D39">
        <w:rPr>
          <w:rFonts w:ascii="Arial" w:hAnsi="Arial" w:cs="Arial"/>
          <w:color w:val="000000" w:themeColor="text1"/>
          <w:sz w:val="22"/>
          <w:szCs w:val="22"/>
          <w:lang w:val="en-GB"/>
        </w:rPr>
        <w:t xml:space="preserve">improvement would be to re-examine the </w:t>
      </w:r>
      <w:r w:rsidR="00B86139" w:rsidRPr="009F0D39">
        <w:rPr>
          <w:rFonts w:ascii="Arial" w:hAnsi="Arial" w:cs="Arial"/>
          <w:b/>
          <w:bCs/>
          <w:color w:val="000000" w:themeColor="text1"/>
          <w:sz w:val="22"/>
          <w:szCs w:val="22"/>
          <w:lang w:val="en-GB"/>
        </w:rPr>
        <w:t>voting proxy rules</w:t>
      </w:r>
      <w:r w:rsidR="00B86139" w:rsidRPr="009F0D39">
        <w:rPr>
          <w:rFonts w:ascii="Arial" w:hAnsi="Arial" w:cs="Arial"/>
          <w:color w:val="000000" w:themeColor="text1"/>
          <w:sz w:val="22"/>
          <w:szCs w:val="22"/>
          <w:lang w:val="en-GB"/>
        </w:rPr>
        <w:t>.  Currently a member can hold at most three proxies</w:t>
      </w:r>
      <w:r w:rsidR="009A1CFC">
        <w:rPr>
          <w:rFonts w:ascii="Arial" w:hAnsi="Arial" w:cs="Arial"/>
          <w:color w:val="000000" w:themeColor="text1"/>
          <w:sz w:val="22"/>
          <w:szCs w:val="22"/>
          <w:lang w:val="en-GB"/>
        </w:rPr>
        <w:t>,</w:t>
      </w:r>
      <w:r w:rsidR="00D35A25">
        <w:rPr>
          <w:rFonts w:ascii="Arial" w:hAnsi="Arial" w:cs="Arial"/>
          <w:color w:val="000000" w:themeColor="text1"/>
          <w:sz w:val="22"/>
          <w:szCs w:val="22"/>
          <w:lang w:val="en-GB"/>
        </w:rPr>
        <w:t xml:space="preserve"> which</w:t>
      </w:r>
      <w:r w:rsidR="00B86139" w:rsidRPr="009F0D39">
        <w:rPr>
          <w:rFonts w:ascii="Arial" w:hAnsi="Arial" w:cs="Arial"/>
          <w:color w:val="000000" w:themeColor="text1"/>
          <w:sz w:val="22"/>
          <w:szCs w:val="22"/>
          <w:lang w:val="en-GB"/>
        </w:rPr>
        <w:t xml:space="preserve"> limits the possibility of </w:t>
      </w:r>
      <w:r>
        <w:rPr>
          <w:rFonts w:ascii="Arial" w:hAnsi="Arial" w:cs="Arial"/>
          <w:color w:val="000000" w:themeColor="text1"/>
          <w:sz w:val="22"/>
          <w:szCs w:val="22"/>
          <w:lang w:val="en-GB"/>
        </w:rPr>
        <w:t xml:space="preserve">Annex III organisations </w:t>
      </w:r>
      <w:r w:rsidR="00C06932">
        <w:rPr>
          <w:rFonts w:ascii="Arial" w:hAnsi="Arial" w:cs="Arial"/>
          <w:color w:val="000000" w:themeColor="text1"/>
          <w:sz w:val="22"/>
          <w:szCs w:val="22"/>
          <w:lang w:val="en-GB"/>
        </w:rPr>
        <w:t>be</w:t>
      </w:r>
      <w:r w:rsidR="00977E1B">
        <w:rPr>
          <w:rFonts w:ascii="Arial" w:hAnsi="Arial" w:cs="Arial"/>
          <w:color w:val="000000" w:themeColor="text1"/>
          <w:sz w:val="22"/>
          <w:szCs w:val="22"/>
          <w:lang w:val="en-GB"/>
        </w:rPr>
        <w:t>ing</w:t>
      </w:r>
      <w:r w:rsidR="00C06932">
        <w:rPr>
          <w:rFonts w:ascii="Arial" w:hAnsi="Arial" w:cs="Arial"/>
          <w:color w:val="000000" w:themeColor="text1"/>
          <w:sz w:val="22"/>
          <w:szCs w:val="22"/>
          <w:lang w:val="en-GB"/>
        </w:rPr>
        <w:t xml:space="preserve"> </w:t>
      </w:r>
      <w:r w:rsidR="009D041C">
        <w:rPr>
          <w:rFonts w:ascii="Arial" w:hAnsi="Arial" w:cs="Arial"/>
          <w:color w:val="000000" w:themeColor="text1"/>
          <w:sz w:val="22"/>
          <w:szCs w:val="22"/>
          <w:lang w:val="en-GB"/>
        </w:rPr>
        <w:t>assigned</w:t>
      </w:r>
      <w:r w:rsidR="00C06932">
        <w:rPr>
          <w:rFonts w:ascii="Arial" w:hAnsi="Arial" w:cs="Arial"/>
          <w:color w:val="000000" w:themeColor="text1"/>
          <w:sz w:val="22"/>
          <w:szCs w:val="22"/>
          <w:lang w:val="en-GB"/>
        </w:rPr>
        <w:t xml:space="preserve"> the</w:t>
      </w:r>
      <w:r w:rsidRPr="009F0D39">
        <w:rPr>
          <w:rFonts w:ascii="Arial" w:hAnsi="Arial" w:cs="Arial"/>
          <w:color w:val="000000" w:themeColor="text1"/>
          <w:sz w:val="22"/>
          <w:szCs w:val="22"/>
          <w:lang w:val="en-GB"/>
        </w:rPr>
        <w:t xml:space="preserve"> votes of other members</w:t>
      </w:r>
      <w:r>
        <w:rPr>
          <w:rFonts w:ascii="Arial" w:hAnsi="Arial" w:cs="Arial"/>
          <w:color w:val="000000" w:themeColor="text1"/>
          <w:sz w:val="22"/>
          <w:szCs w:val="22"/>
          <w:lang w:val="en-GB"/>
        </w:rPr>
        <w:t xml:space="preserve">. </w:t>
      </w:r>
      <w:r w:rsidR="009A1CFC">
        <w:rPr>
          <w:rFonts w:ascii="Arial" w:hAnsi="Arial" w:cs="Arial"/>
          <w:color w:val="000000" w:themeColor="text1"/>
          <w:sz w:val="22"/>
          <w:szCs w:val="22"/>
          <w:lang w:val="en-GB"/>
        </w:rPr>
        <w:t>A change would allow</w:t>
      </w:r>
      <w:r w:rsidR="0069277E">
        <w:rPr>
          <w:rFonts w:ascii="Arial" w:hAnsi="Arial" w:cs="Arial"/>
          <w:color w:val="000000" w:themeColor="text1"/>
          <w:sz w:val="22"/>
          <w:szCs w:val="22"/>
          <w:lang w:val="en-GB"/>
        </w:rPr>
        <w:t xml:space="preserve"> </w:t>
      </w:r>
      <w:r w:rsidR="00B86139" w:rsidRPr="009F0D39">
        <w:rPr>
          <w:rFonts w:ascii="Arial" w:hAnsi="Arial" w:cs="Arial"/>
          <w:color w:val="000000" w:themeColor="text1"/>
          <w:sz w:val="22"/>
          <w:szCs w:val="22"/>
          <w:lang w:val="en-GB"/>
        </w:rPr>
        <w:t>SMEs</w:t>
      </w:r>
      <w:r w:rsidR="008D7A99">
        <w:rPr>
          <w:rFonts w:ascii="Arial" w:hAnsi="Arial" w:cs="Arial"/>
          <w:color w:val="000000" w:themeColor="text1"/>
          <w:sz w:val="22"/>
          <w:szCs w:val="22"/>
          <w:lang w:val="en-GB"/>
        </w:rPr>
        <w:t>,</w:t>
      </w:r>
      <w:r w:rsidR="00B86139" w:rsidRPr="009F0D39">
        <w:rPr>
          <w:rFonts w:ascii="Arial" w:hAnsi="Arial" w:cs="Arial"/>
          <w:color w:val="000000" w:themeColor="text1"/>
          <w:sz w:val="22"/>
          <w:szCs w:val="22"/>
          <w:lang w:val="en-GB"/>
        </w:rPr>
        <w:t xml:space="preserve"> that typically do not attend the G</w:t>
      </w:r>
      <w:r w:rsidR="00075E30" w:rsidRPr="009F0D39">
        <w:rPr>
          <w:rFonts w:ascii="Arial" w:hAnsi="Arial" w:cs="Arial"/>
          <w:color w:val="000000" w:themeColor="text1"/>
          <w:sz w:val="22"/>
          <w:szCs w:val="22"/>
          <w:lang w:val="en-GB"/>
        </w:rPr>
        <w:t>A meetings</w:t>
      </w:r>
      <w:r w:rsidR="009D041C">
        <w:rPr>
          <w:rFonts w:ascii="Arial" w:hAnsi="Arial" w:cs="Arial"/>
          <w:color w:val="000000" w:themeColor="text1"/>
          <w:sz w:val="22"/>
          <w:szCs w:val="22"/>
          <w:lang w:val="en-GB"/>
        </w:rPr>
        <w:t>,</w:t>
      </w:r>
      <w:r w:rsidR="008D7A99">
        <w:rPr>
          <w:rFonts w:ascii="Arial" w:hAnsi="Arial" w:cs="Arial"/>
          <w:color w:val="000000" w:themeColor="text1"/>
          <w:sz w:val="22"/>
          <w:szCs w:val="22"/>
          <w:lang w:val="en-GB"/>
        </w:rPr>
        <w:t xml:space="preserve"> to be</w:t>
      </w:r>
      <w:r w:rsidR="0069277E">
        <w:rPr>
          <w:rFonts w:ascii="Arial" w:hAnsi="Arial" w:cs="Arial"/>
          <w:color w:val="000000" w:themeColor="text1"/>
          <w:sz w:val="22"/>
          <w:szCs w:val="22"/>
          <w:lang w:val="en-GB"/>
        </w:rPr>
        <w:t xml:space="preserve"> more easily represented</w:t>
      </w:r>
      <w:r w:rsidR="008D7A99">
        <w:rPr>
          <w:rFonts w:ascii="Arial" w:hAnsi="Arial" w:cs="Arial"/>
          <w:color w:val="000000" w:themeColor="text1"/>
          <w:sz w:val="22"/>
          <w:szCs w:val="22"/>
          <w:lang w:val="en-GB"/>
        </w:rPr>
        <w:t xml:space="preserve"> collectively</w:t>
      </w:r>
      <w:r w:rsidR="00B86139" w:rsidRPr="009F0D39">
        <w:rPr>
          <w:rFonts w:ascii="Arial" w:hAnsi="Arial" w:cs="Arial"/>
          <w:color w:val="000000" w:themeColor="text1"/>
          <w:sz w:val="22"/>
          <w:szCs w:val="22"/>
          <w:lang w:val="en-GB"/>
        </w:rPr>
        <w:t>.</w:t>
      </w:r>
    </w:p>
    <w:p w14:paraId="4F95C44E" w14:textId="77777777" w:rsidR="00A67A0A" w:rsidRPr="009F0D39" w:rsidRDefault="00A67A0A" w:rsidP="00BE5163">
      <w:pPr>
        <w:rPr>
          <w:rFonts w:ascii="Arial" w:hAnsi="Arial" w:cs="Arial"/>
          <w:sz w:val="22"/>
          <w:szCs w:val="22"/>
          <w:lang w:val="en-GB"/>
        </w:rPr>
      </w:pPr>
    </w:p>
    <w:p w14:paraId="192612E4" w14:textId="71878C44" w:rsidR="0069277E" w:rsidRDefault="0069277E" w:rsidP="00D1302A">
      <w:pPr>
        <w:rPr>
          <w:rFonts w:ascii="Arial" w:hAnsi="Arial" w:cs="Arial"/>
          <w:b/>
          <w:bCs/>
          <w:sz w:val="22"/>
          <w:szCs w:val="22"/>
          <w:lang w:val="en-GB"/>
        </w:rPr>
      </w:pPr>
      <w:r>
        <w:rPr>
          <w:rFonts w:ascii="Arial" w:hAnsi="Arial" w:cs="Arial"/>
          <w:b/>
          <w:bCs/>
          <w:sz w:val="22"/>
          <w:szCs w:val="22"/>
          <w:lang w:val="en-GB"/>
        </w:rPr>
        <w:t>6.3 Voting power</w:t>
      </w:r>
    </w:p>
    <w:p w14:paraId="781CEE55" w14:textId="77777777" w:rsidR="0069277E" w:rsidRDefault="0069277E" w:rsidP="00D1302A">
      <w:pPr>
        <w:rPr>
          <w:rFonts w:ascii="Arial" w:hAnsi="Arial" w:cs="Arial"/>
          <w:b/>
          <w:bCs/>
          <w:sz w:val="22"/>
          <w:szCs w:val="22"/>
          <w:lang w:val="en-GB"/>
        </w:rPr>
      </w:pPr>
    </w:p>
    <w:p w14:paraId="114385E3" w14:textId="03FB09C8" w:rsidR="0045324E" w:rsidRPr="009F0D39" w:rsidRDefault="00BE5163" w:rsidP="00D1302A">
      <w:pPr>
        <w:rPr>
          <w:rFonts w:ascii="Arial" w:hAnsi="Arial" w:cs="Arial"/>
          <w:sz w:val="22"/>
          <w:szCs w:val="22"/>
          <w:lang w:val="en-GB"/>
        </w:rPr>
      </w:pPr>
      <w:r w:rsidRPr="009F0D39">
        <w:rPr>
          <w:rFonts w:ascii="Arial" w:hAnsi="Arial" w:cs="Arial"/>
          <w:b/>
          <w:bCs/>
          <w:sz w:val="22"/>
          <w:szCs w:val="22"/>
          <w:lang w:val="en-GB"/>
        </w:rPr>
        <w:t>R</w:t>
      </w:r>
      <w:r w:rsidR="00D9357B" w:rsidRPr="009F0D39">
        <w:rPr>
          <w:rFonts w:ascii="Arial" w:hAnsi="Arial" w:cs="Arial"/>
          <w:b/>
          <w:bCs/>
          <w:sz w:val="22"/>
          <w:szCs w:val="22"/>
          <w:lang w:val="en-GB"/>
        </w:rPr>
        <w:t>edressing th</w:t>
      </w:r>
      <w:r w:rsidRPr="009F0D39">
        <w:rPr>
          <w:rFonts w:ascii="Arial" w:hAnsi="Arial" w:cs="Arial"/>
          <w:b/>
          <w:bCs/>
          <w:sz w:val="22"/>
          <w:szCs w:val="22"/>
          <w:lang w:val="en-GB"/>
        </w:rPr>
        <w:t>e</w:t>
      </w:r>
      <w:r w:rsidR="00D9357B" w:rsidRPr="009F0D39">
        <w:rPr>
          <w:rFonts w:ascii="Arial" w:hAnsi="Arial" w:cs="Arial"/>
          <w:b/>
          <w:bCs/>
          <w:sz w:val="22"/>
          <w:szCs w:val="22"/>
          <w:lang w:val="en-GB"/>
        </w:rPr>
        <w:t xml:space="preserve"> </w:t>
      </w:r>
      <w:r w:rsidR="00B86139" w:rsidRPr="009F0D39">
        <w:rPr>
          <w:rFonts w:ascii="Arial" w:hAnsi="Arial" w:cs="Arial"/>
          <w:b/>
          <w:bCs/>
          <w:sz w:val="22"/>
          <w:szCs w:val="22"/>
          <w:lang w:val="en-GB"/>
        </w:rPr>
        <w:t xml:space="preserve">overall </w:t>
      </w:r>
      <w:r w:rsidR="00D9357B" w:rsidRPr="009F0D39">
        <w:rPr>
          <w:rFonts w:ascii="Arial" w:hAnsi="Arial" w:cs="Arial"/>
          <w:b/>
          <w:bCs/>
          <w:sz w:val="22"/>
          <w:szCs w:val="22"/>
          <w:lang w:val="en-GB"/>
        </w:rPr>
        <w:t>imbalance</w:t>
      </w:r>
      <w:r w:rsidR="00D9357B" w:rsidRPr="009F0D39">
        <w:rPr>
          <w:rFonts w:ascii="Arial" w:hAnsi="Arial" w:cs="Arial"/>
          <w:sz w:val="22"/>
          <w:szCs w:val="22"/>
          <w:lang w:val="en-GB"/>
        </w:rPr>
        <w:t xml:space="preserve"> </w:t>
      </w:r>
      <w:r w:rsidRPr="009F0D39">
        <w:rPr>
          <w:rFonts w:ascii="Arial" w:hAnsi="Arial" w:cs="Arial"/>
          <w:sz w:val="22"/>
          <w:szCs w:val="22"/>
          <w:lang w:val="en-GB"/>
        </w:rPr>
        <w:t xml:space="preserve">in voting </w:t>
      </w:r>
      <w:r w:rsidR="00D9357B" w:rsidRPr="009F0D39">
        <w:rPr>
          <w:rFonts w:ascii="Arial" w:hAnsi="Arial" w:cs="Arial"/>
          <w:sz w:val="22"/>
          <w:szCs w:val="22"/>
          <w:lang w:val="en-GB"/>
        </w:rPr>
        <w:t xml:space="preserve">will </w:t>
      </w:r>
      <w:r w:rsidRPr="009F0D39">
        <w:rPr>
          <w:rFonts w:ascii="Arial" w:hAnsi="Arial" w:cs="Arial"/>
          <w:sz w:val="22"/>
          <w:szCs w:val="22"/>
          <w:lang w:val="en-GB"/>
        </w:rPr>
        <w:t xml:space="preserve">no doubt </w:t>
      </w:r>
      <w:r w:rsidR="00D9357B" w:rsidRPr="009F0D39">
        <w:rPr>
          <w:rFonts w:ascii="Arial" w:hAnsi="Arial" w:cs="Arial"/>
          <w:sz w:val="22"/>
          <w:szCs w:val="22"/>
          <w:lang w:val="en-GB"/>
        </w:rPr>
        <w:t xml:space="preserve">require adjustment to the ETSI Statutes.  The Annex III </w:t>
      </w:r>
      <w:r w:rsidR="0023778F" w:rsidRPr="009F0D39">
        <w:rPr>
          <w:rFonts w:ascii="Arial" w:hAnsi="Arial" w:cs="Arial"/>
          <w:sz w:val="22"/>
          <w:szCs w:val="22"/>
          <w:lang w:val="en-GB"/>
        </w:rPr>
        <w:t xml:space="preserve">organisations </w:t>
      </w:r>
      <w:r w:rsidR="00D9357B" w:rsidRPr="009F0D39">
        <w:rPr>
          <w:rFonts w:ascii="Arial" w:hAnsi="Arial" w:cs="Arial"/>
          <w:sz w:val="22"/>
          <w:szCs w:val="22"/>
          <w:lang w:val="en-GB"/>
        </w:rPr>
        <w:t xml:space="preserve">nevertheless request, in line with the EU strategy, that serious attention be paid to this.  </w:t>
      </w:r>
      <w:r w:rsidR="0045324E" w:rsidRPr="009F0D39">
        <w:rPr>
          <w:rFonts w:ascii="Arial" w:hAnsi="Arial" w:cs="Arial"/>
          <w:sz w:val="22"/>
          <w:szCs w:val="22"/>
          <w:lang w:val="en-GB"/>
        </w:rPr>
        <w:t xml:space="preserve">For instance, it is worth considering </w:t>
      </w:r>
      <w:proofErr w:type="gramStart"/>
      <w:r w:rsidR="0045324E" w:rsidRPr="009F0D39">
        <w:rPr>
          <w:rFonts w:ascii="Arial" w:hAnsi="Arial" w:cs="Arial"/>
          <w:sz w:val="22"/>
          <w:szCs w:val="22"/>
          <w:lang w:val="en-GB"/>
        </w:rPr>
        <w:t>to give</w:t>
      </w:r>
      <w:proofErr w:type="gramEnd"/>
      <w:r w:rsidR="0045324E" w:rsidRPr="009F0D39">
        <w:rPr>
          <w:rFonts w:ascii="Arial" w:hAnsi="Arial" w:cs="Arial"/>
          <w:sz w:val="22"/>
          <w:szCs w:val="22"/>
          <w:lang w:val="en-GB"/>
        </w:rPr>
        <w:t xml:space="preserve"> each Annex III organi</w:t>
      </w:r>
      <w:r w:rsidR="00FA542A" w:rsidRPr="009F0D39">
        <w:rPr>
          <w:rFonts w:ascii="Arial" w:hAnsi="Arial" w:cs="Arial"/>
          <w:sz w:val="22"/>
          <w:szCs w:val="22"/>
          <w:lang w:val="en-GB"/>
        </w:rPr>
        <w:t>s</w:t>
      </w:r>
      <w:r w:rsidR="0045324E" w:rsidRPr="009F0D39">
        <w:rPr>
          <w:rFonts w:ascii="Arial" w:hAnsi="Arial" w:cs="Arial"/>
          <w:sz w:val="22"/>
          <w:szCs w:val="22"/>
          <w:lang w:val="en-GB"/>
        </w:rPr>
        <w:t>ation 45 votes as such</w:t>
      </w:r>
      <w:r w:rsidR="002D3985">
        <w:rPr>
          <w:rFonts w:ascii="Arial" w:hAnsi="Arial" w:cs="Arial"/>
          <w:sz w:val="22"/>
          <w:szCs w:val="22"/>
          <w:lang w:val="en-GB"/>
        </w:rPr>
        <w:t>, while leaving their membership fees unchanged</w:t>
      </w:r>
      <w:r w:rsidR="0045324E" w:rsidRPr="009F0D39">
        <w:rPr>
          <w:rFonts w:ascii="Arial" w:hAnsi="Arial" w:cs="Arial"/>
          <w:sz w:val="22"/>
          <w:szCs w:val="22"/>
          <w:lang w:val="en-GB"/>
        </w:rPr>
        <w:t xml:space="preserve">. This would match the voting power of a single large </w:t>
      </w:r>
      <w:proofErr w:type="gramStart"/>
      <w:r w:rsidR="0045324E" w:rsidRPr="009F0D39">
        <w:rPr>
          <w:rFonts w:ascii="Arial" w:hAnsi="Arial" w:cs="Arial"/>
          <w:sz w:val="22"/>
          <w:szCs w:val="22"/>
          <w:lang w:val="en-GB"/>
        </w:rPr>
        <w:t>member</w:t>
      </w:r>
      <w:r w:rsidR="0023778F" w:rsidRPr="009F0D39">
        <w:rPr>
          <w:rFonts w:ascii="Arial" w:hAnsi="Arial" w:cs="Arial"/>
          <w:sz w:val="22"/>
          <w:szCs w:val="22"/>
          <w:lang w:val="en-GB"/>
        </w:rPr>
        <w:t>, and</w:t>
      </w:r>
      <w:proofErr w:type="gramEnd"/>
      <w:r w:rsidR="0023778F" w:rsidRPr="009F0D39">
        <w:rPr>
          <w:rFonts w:ascii="Arial" w:hAnsi="Arial" w:cs="Arial"/>
          <w:sz w:val="22"/>
          <w:szCs w:val="22"/>
          <w:lang w:val="en-GB"/>
        </w:rPr>
        <w:t xml:space="preserve"> show that ETSI responds to </w:t>
      </w:r>
      <w:r w:rsidR="00CC6C54" w:rsidRPr="009F0D39">
        <w:rPr>
          <w:rFonts w:ascii="Arial" w:hAnsi="Arial" w:cs="Arial"/>
          <w:sz w:val="22"/>
          <w:szCs w:val="22"/>
          <w:lang w:val="en-GB"/>
        </w:rPr>
        <w:t xml:space="preserve">the needs of society, and to the needs of SMEs, as well as </w:t>
      </w:r>
      <w:r w:rsidR="000B32EF" w:rsidRPr="009F0D39">
        <w:rPr>
          <w:rFonts w:ascii="Arial" w:hAnsi="Arial" w:cs="Arial"/>
          <w:sz w:val="22"/>
          <w:szCs w:val="22"/>
          <w:lang w:val="en-GB"/>
        </w:rPr>
        <w:t xml:space="preserve">more </w:t>
      </w:r>
      <w:r w:rsidR="00CC6C54" w:rsidRPr="009F0D39">
        <w:rPr>
          <w:rFonts w:ascii="Arial" w:hAnsi="Arial" w:cs="Arial"/>
          <w:sz w:val="22"/>
          <w:szCs w:val="22"/>
          <w:lang w:val="en-GB"/>
        </w:rPr>
        <w:t>established – and world</w:t>
      </w:r>
      <w:r w:rsidR="000B32EF" w:rsidRPr="009F0D39">
        <w:rPr>
          <w:rFonts w:ascii="Arial" w:hAnsi="Arial" w:cs="Arial"/>
          <w:sz w:val="22"/>
          <w:szCs w:val="22"/>
          <w:lang w:val="en-GB"/>
        </w:rPr>
        <w:t>-</w:t>
      </w:r>
      <w:r w:rsidR="00CC6C54" w:rsidRPr="009F0D39">
        <w:rPr>
          <w:rFonts w:ascii="Arial" w:hAnsi="Arial" w:cs="Arial"/>
          <w:sz w:val="22"/>
          <w:szCs w:val="22"/>
          <w:lang w:val="en-GB"/>
        </w:rPr>
        <w:t xml:space="preserve">leading </w:t>
      </w:r>
      <w:r w:rsidR="00ED4AD8" w:rsidRPr="009F0D39">
        <w:rPr>
          <w:rFonts w:ascii="Arial" w:hAnsi="Arial" w:cs="Arial"/>
          <w:sz w:val="22"/>
          <w:szCs w:val="22"/>
          <w:lang w:val="en-GB"/>
        </w:rPr>
        <w:t xml:space="preserve">– </w:t>
      </w:r>
      <w:r w:rsidR="00D9245D" w:rsidRPr="009F0D39">
        <w:rPr>
          <w:rFonts w:ascii="Arial" w:hAnsi="Arial" w:cs="Arial"/>
          <w:sz w:val="22"/>
          <w:szCs w:val="22"/>
          <w:lang w:val="en-GB"/>
        </w:rPr>
        <w:t>companies</w:t>
      </w:r>
      <w:r w:rsidR="00ED4AD8" w:rsidRPr="009F0D39">
        <w:rPr>
          <w:rFonts w:ascii="Arial" w:hAnsi="Arial" w:cs="Arial"/>
          <w:sz w:val="22"/>
          <w:szCs w:val="22"/>
          <w:lang w:val="en-GB"/>
        </w:rPr>
        <w:t>.</w:t>
      </w:r>
    </w:p>
    <w:p w14:paraId="0EF4BB4B" w14:textId="77777777" w:rsidR="0045324E" w:rsidRPr="009F0D39" w:rsidRDefault="0045324E" w:rsidP="00D1302A">
      <w:pPr>
        <w:rPr>
          <w:rFonts w:ascii="Arial" w:hAnsi="Arial" w:cs="Arial"/>
          <w:sz w:val="22"/>
          <w:szCs w:val="22"/>
          <w:lang w:val="en-GB"/>
        </w:rPr>
      </w:pPr>
    </w:p>
    <w:p w14:paraId="6EA2CABE" w14:textId="3E789BCE" w:rsidR="00BE5163" w:rsidRPr="009F0D39" w:rsidRDefault="00093DBC" w:rsidP="00D1302A">
      <w:pPr>
        <w:rPr>
          <w:rFonts w:ascii="Arial" w:hAnsi="Arial" w:cs="Arial"/>
          <w:sz w:val="22"/>
          <w:szCs w:val="22"/>
          <w:lang w:val="en-GB"/>
        </w:rPr>
      </w:pPr>
      <w:r w:rsidRPr="009F0D39">
        <w:rPr>
          <w:rFonts w:ascii="Arial" w:hAnsi="Arial" w:cs="Arial"/>
          <w:sz w:val="22"/>
          <w:szCs w:val="22"/>
          <w:lang w:val="en-GB"/>
        </w:rPr>
        <w:t>S</w:t>
      </w:r>
      <w:r w:rsidR="00D9357B" w:rsidRPr="009F0D39">
        <w:rPr>
          <w:rFonts w:ascii="Arial" w:hAnsi="Arial" w:cs="Arial"/>
          <w:sz w:val="22"/>
          <w:szCs w:val="22"/>
          <w:lang w:val="en-GB"/>
        </w:rPr>
        <w:t xml:space="preserve">uch change would not necessarily require any fundamental alterations to the actual ETSI process inside the technical groups, where overwhelmingly </w:t>
      </w:r>
      <w:r w:rsidR="00B51999" w:rsidRPr="009F0D39">
        <w:rPr>
          <w:rFonts w:ascii="Arial" w:hAnsi="Arial" w:cs="Arial"/>
          <w:sz w:val="22"/>
          <w:szCs w:val="22"/>
          <w:lang w:val="en-GB"/>
        </w:rPr>
        <w:t xml:space="preserve">the drafting process works by consensus and </w:t>
      </w:r>
      <w:r w:rsidR="00E263AF" w:rsidRPr="009F0D39">
        <w:rPr>
          <w:rFonts w:ascii="Arial" w:hAnsi="Arial" w:cs="Arial"/>
          <w:sz w:val="22"/>
          <w:szCs w:val="22"/>
          <w:lang w:val="en-GB"/>
        </w:rPr>
        <w:t xml:space="preserve">takes place </w:t>
      </w:r>
      <w:r w:rsidR="00B51999" w:rsidRPr="009F0D39">
        <w:rPr>
          <w:rFonts w:ascii="Arial" w:hAnsi="Arial" w:cs="Arial"/>
          <w:sz w:val="22"/>
          <w:szCs w:val="22"/>
          <w:lang w:val="en-GB"/>
        </w:rPr>
        <w:t xml:space="preserve">without problems. </w:t>
      </w:r>
      <w:r w:rsidR="0069277E">
        <w:rPr>
          <w:rFonts w:ascii="Arial" w:hAnsi="Arial" w:cs="Arial"/>
          <w:sz w:val="22"/>
          <w:szCs w:val="22"/>
          <w:lang w:val="en-GB"/>
        </w:rPr>
        <w:t xml:space="preserve">Also, </w:t>
      </w:r>
      <w:r w:rsidR="000E29D0">
        <w:rPr>
          <w:rFonts w:ascii="Arial" w:hAnsi="Arial" w:cs="Arial"/>
          <w:sz w:val="22"/>
          <w:szCs w:val="22"/>
          <w:lang w:val="en-GB"/>
        </w:rPr>
        <w:t>this</w:t>
      </w:r>
      <w:r w:rsidR="002D3985">
        <w:rPr>
          <w:rFonts w:ascii="Arial" w:hAnsi="Arial" w:cs="Arial"/>
          <w:sz w:val="22"/>
          <w:szCs w:val="22"/>
          <w:lang w:val="en-GB"/>
        </w:rPr>
        <w:t xml:space="preserve"> change</w:t>
      </w:r>
      <w:r w:rsidR="0069277E">
        <w:rPr>
          <w:rFonts w:ascii="Arial" w:hAnsi="Arial" w:cs="Arial"/>
          <w:sz w:val="22"/>
          <w:szCs w:val="22"/>
          <w:lang w:val="en-GB"/>
        </w:rPr>
        <w:t xml:space="preserve"> would </w:t>
      </w:r>
      <w:r w:rsidR="002D3985">
        <w:rPr>
          <w:rFonts w:ascii="Arial" w:hAnsi="Arial" w:cs="Arial"/>
          <w:sz w:val="22"/>
          <w:szCs w:val="22"/>
          <w:lang w:val="en-GB"/>
        </w:rPr>
        <w:t xml:space="preserve">not have any substantial financial implications. </w:t>
      </w:r>
      <w:r w:rsidR="00B51999" w:rsidRPr="009F0D39">
        <w:rPr>
          <w:rFonts w:ascii="Arial" w:hAnsi="Arial" w:cs="Arial"/>
          <w:sz w:val="22"/>
          <w:szCs w:val="22"/>
          <w:lang w:val="en-GB"/>
        </w:rPr>
        <w:t>Rather, it would ensure that, there is a better mechanism available to address significant interests of SMEs and societal stakeholders</w:t>
      </w:r>
      <w:r w:rsidR="004F7A02" w:rsidRPr="009F0D39">
        <w:rPr>
          <w:rFonts w:ascii="Arial" w:hAnsi="Arial" w:cs="Arial"/>
          <w:sz w:val="22"/>
          <w:szCs w:val="22"/>
          <w:lang w:val="en-GB"/>
        </w:rPr>
        <w:t>,</w:t>
      </w:r>
      <w:r w:rsidR="00B51999" w:rsidRPr="009F0D39">
        <w:rPr>
          <w:rFonts w:ascii="Arial" w:hAnsi="Arial" w:cs="Arial"/>
          <w:sz w:val="22"/>
          <w:szCs w:val="22"/>
          <w:lang w:val="en-GB"/>
        </w:rPr>
        <w:t xml:space="preserve"> where these would </w:t>
      </w:r>
      <w:r w:rsidR="00345DFE" w:rsidRPr="009F0D39">
        <w:rPr>
          <w:rFonts w:ascii="Arial" w:hAnsi="Arial" w:cs="Arial"/>
          <w:sz w:val="22"/>
          <w:szCs w:val="22"/>
          <w:lang w:val="en-GB"/>
        </w:rPr>
        <w:t xml:space="preserve">otherwise </w:t>
      </w:r>
      <w:r w:rsidR="00B51999" w:rsidRPr="009F0D39">
        <w:rPr>
          <w:rFonts w:ascii="Arial" w:hAnsi="Arial" w:cs="Arial"/>
          <w:sz w:val="22"/>
          <w:szCs w:val="22"/>
          <w:lang w:val="en-GB"/>
        </w:rPr>
        <w:t xml:space="preserve">be adversely affected by </w:t>
      </w:r>
      <w:r w:rsidR="00345DFE" w:rsidRPr="009F0D39">
        <w:rPr>
          <w:rFonts w:ascii="Arial" w:hAnsi="Arial" w:cs="Arial"/>
          <w:sz w:val="22"/>
          <w:szCs w:val="22"/>
          <w:lang w:val="en-GB"/>
        </w:rPr>
        <w:t xml:space="preserve">the </w:t>
      </w:r>
      <w:r w:rsidR="00B51999" w:rsidRPr="009F0D39">
        <w:rPr>
          <w:rFonts w:ascii="Arial" w:hAnsi="Arial" w:cs="Arial"/>
          <w:sz w:val="22"/>
          <w:szCs w:val="22"/>
          <w:lang w:val="en-GB"/>
        </w:rPr>
        <w:t>proposals.</w:t>
      </w:r>
    </w:p>
    <w:p w14:paraId="50D59DAA" w14:textId="2E0E52A2" w:rsidR="006C20BB" w:rsidRPr="009F0D39" w:rsidRDefault="006C20BB" w:rsidP="00F3148F">
      <w:pPr>
        <w:rPr>
          <w:rFonts w:ascii="Arial" w:hAnsi="Arial" w:cs="Arial"/>
          <w:b/>
          <w:bCs/>
          <w:sz w:val="22"/>
          <w:szCs w:val="22"/>
          <w:lang w:val="en-GB"/>
        </w:rPr>
      </w:pPr>
    </w:p>
    <w:p w14:paraId="5201F989" w14:textId="7648C485" w:rsidR="00F3148F" w:rsidRPr="009F0D39" w:rsidRDefault="00BE5163" w:rsidP="00F3148F">
      <w:pPr>
        <w:rPr>
          <w:rFonts w:ascii="Arial" w:hAnsi="Arial" w:cs="Arial"/>
          <w:b/>
          <w:bCs/>
          <w:lang w:val="en-GB"/>
        </w:rPr>
      </w:pPr>
      <w:r w:rsidRPr="009F0D39">
        <w:rPr>
          <w:rFonts w:ascii="Arial" w:hAnsi="Arial" w:cs="Arial"/>
          <w:b/>
          <w:bCs/>
          <w:lang w:val="en-GB"/>
        </w:rPr>
        <w:t>7      The way forward</w:t>
      </w:r>
    </w:p>
    <w:p w14:paraId="60A818ED" w14:textId="2BD12A9E" w:rsidR="00BE5163" w:rsidRPr="009F0D39" w:rsidRDefault="00BE5163" w:rsidP="00F3148F">
      <w:pPr>
        <w:rPr>
          <w:rFonts w:ascii="Arial" w:hAnsi="Arial" w:cs="Arial"/>
          <w:b/>
          <w:bCs/>
          <w:sz w:val="22"/>
          <w:szCs w:val="22"/>
          <w:lang w:val="en-GB"/>
        </w:rPr>
      </w:pPr>
    </w:p>
    <w:p w14:paraId="0CB531B2" w14:textId="25AC7D5E" w:rsidR="00F3148F" w:rsidRPr="009F0D39" w:rsidRDefault="00BE5163" w:rsidP="00F3148F">
      <w:pPr>
        <w:rPr>
          <w:rFonts w:ascii="Arial" w:hAnsi="Arial" w:cs="Arial"/>
          <w:b/>
          <w:bCs/>
          <w:sz w:val="22"/>
          <w:szCs w:val="22"/>
          <w:lang w:val="en-GB"/>
        </w:rPr>
      </w:pPr>
      <w:r w:rsidRPr="009F0D39">
        <w:rPr>
          <w:rFonts w:ascii="Arial" w:hAnsi="Arial" w:cs="Arial"/>
          <w:sz w:val="22"/>
          <w:szCs w:val="22"/>
          <w:lang w:val="en-GB"/>
        </w:rPr>
        <w:t xml:space="preserve">The Annex III organisations will be pleased to participate </w:t>
      </w:r>
      <w:r w:rsidR="0027604F" w:rsidRPr="009F0D39">
        <w:rPr>
          <w:rFonts w:ascii="Arial" w:hAnsi="Arial" w:cs="Arial"/>
          <w:sz w:val="22"/>
          <w:szCs w:val="22"/>
          <w:lang w:val="en-GB"/>
        </w:rPr>
        <w:t xml:space="preserve">fully </w:t>
      </w:r>
      <w:r w:rsidRPr="009F0D39">
        <w:rPr>
          <w:rFonts w:ascii="Arial" w:hAnsi="Arial" w:cs="Arial"/>
          <w:sz w:val="22"/>
          <w:szCs w:val="22"/>
          <w:lang w:val="en-GB"/>
        </w:rPr>
        <w:t xml:space="preserve">in whatever discussions </w:t>
      </w:r>
      <w:r w:rsidR="0027604F" w:rsidRPr="009F0D39">
        <w:rPr>
          <w:rFonts w:ascii="Arial" w:hAnsi="Arial" w:cs="Arial"/>
          <w:sz w:val="22"/>
          <w:szCs w:val="22"/>
          <w:lang w:val="en-GB"/>
        </w:rPr>
        <w:t xml:space="preserve">take place on a matter of some fundamental importance </w:t>
      </w:r>
      <w:r w:rsidR="00484B8C" w:rsidRPr="009F0D39">
        <w:rPr>
          <w:rFonts w:ascii="Arial" w:hAnsi="Arial" w:cs="Arial"/>
          <w:sz w:val="22"/>
          <w:szCs w:val="22"/>
          <w:lang w:val="en-GB"/>
        </w:rPr>
        <w:t>to confirming</w:t>
      </w:r>
      <w:r w:rsidR="0027604F" w:rsidRPr="009F0D39">
        <w:rPr>
          <w:rFonts w:ascii="Arial" w:hAnsi="Arial" w:cs="Arial"/>
          <w:sz w:val="22"/>
          <w:szCs w:val="22"/>
          <w:lang w:val="en-GB"/>
        </w:rPr>
        <w:t xml:space="preserve"> ETSI’s place as an inclusive ESO. </w:t>
      </w:r>
      <w:r w:rsidR="008C0717" w:rsidRPr="009F0D39">
        <w:rPr>
          <w:rFonts w:ascii="Arial" w:hAnsi="Arial" w:cs="Arial"/>
          <w:sz w:val="22"/>
          <w:szCs w:val="22"/>
          <w:lang w:val="en-GB"/>
        </w:rPr>
        <w:t>We request the ideas in the present document receive full examination</w:t>
      </w:r>
      <w:r w:rsidR="00936173" w:rsidRPr="009F0D39">
        <w:rPr>
          <w:rFonts w:ascii="Arial" w:hAnsi="Arial" w:cs="Arial"/>
          <w:sz w:val="22"/>
          <w:szCs w:val="22"/>
          <w:lang w:val="en-GB"/>
        </w:rPr>
        <w:t xml:space="preserve"> by the ETSI institutions.</w:t>
      </w:r>
    </w:p>
    <w:p w14:paraId="1D7EB3F9" w14:textId="77777777" w:rsidR="00B62E17" w:rsidRPr="009F0D39" w:rsidRDefault="00B62E17" w:rsidP="00B62E17">
      <w:pPr>
        <w:rPr>
          <w:rFonts w:ascii="Arial" w:hAnsi="Arial" w:cs="Arial"/>
          <w:sz w:val="22"/>
          <w:szCs w:val="22"/>
          <w:lang w:val="en-GB"/>
        </w:rPr>
      </w:pPr>
    </w:p>
    <w:p w14:paraId="20CB2B74" w14:textId="77777777" w:rsidR="00B62E17" w:rsidRPr="00CC2793" w:rsidRDefault="00B62E17" w:rsidP="00B62E17">
      <w:pPr>
        <w:rPr>
          <w:rFonts w:ascii="Arial" w:hAnsi="Arial" w:cs="Arial"/>
          <w:lang w:val="en-GB"/>
        </w:rPr>
      </w:pPr>
    </w:p>
    <w:p w14:paraId="2D4ECC5F" w14:textId="77777777" w:rsidR="00B62E17" w:rsidRPr="00CC2793" w:rsidRDefault="00B62E17" w:rsidP="00B62E17">
      <w:pPr>
        <w:rPr>
          <w:rFonts w:ascii="Arial" w:hAnsi="Arial" w:cs="Arial"/>
          <w:lang w:val="en-GB"/>
        </w:rPr>
      </w:pPr>
    </w:p>
    <w:p w14:paraId="43031A13" w14:textId="77777777" w:rsidR="00B62E17" w:rsidRPr="00CC2793" w:rsidRDefault="00B62E17" w:rsidP="00B62E17">
      <w:pPr>
        <w:rPr>
          <w:rFonts w:ascii="Arial" w:hAnsi="Arial" w:cs="Arial"/>
          <w:lang w:val="en-GB"/>
        </w:rPr>
      </w:pPr>
    </w:p>
    <w:p w14:paraId="4984C8C2" w14:textId="77777777" w:rsidR="0002782A" w:rsidRPr="00CC2793" w:rsidRDefault="0002782A" w:rsidP="0002782A">
      <w:pPr>
        <w:rPr>
          <w:rFonts w:ascii="Arial" w:hAnsi="Arial" w:cs="Arial"/>
          <w:lang w:val="en-GB"/>
        </w:rPr>
      </w:pPr>
    </w:p>
    <w:p w14:paraId="4D0F9F58" w14:textId="77777777" w:rsidR="00B62E17" w:rsidRPr="00CC2793" w:rsidRDefault="00B62E17" w:rsidP="00B62E17">
      <w:pPr>
        <w:rPr>
          <w:rFonts w:ascii="Arial" w:hAnsi="Arial" w:cs="Arial"/>
          <w:lang w:val="en-GB"/>
        </w:rPr>
      </w:pPr>
    </w:p>
    <w:p w14:paraId="6B60CC22" w14:textId="77777777" w:rsidR="00B62E17" w:rsidRPr="00CC2793" w:rsidRDefault="00B62E17" w:rsidP="00B62E17">
      <w:pPr>
        <w:rPr>
          <w:rFonts w:ascii="Arial" w:hAnsi="Arial" w:cs="Arial"/>
          <w:lang w:val="en-GB"/>
        </w:rPr>
      </w:pPr>
    </w:p>
    <w:p w14:paraId="7B841408" w14:textId="77777777" w:rsidR="00B62E17" w:rsidRPr="00CC2793" w:rsidRDefault="00B62E17" w:rsidP="00B62E17">
      <w:pPr>
        <w:rPr>
          <w:rFonts w:ascii="Arial" w:hAnsi="Arial" w:cs="Arial"/>
          <w:lang w:val="en-GB"/>
        </w:rPr>
      </w:pPr>
    </w:p>
    <w:p w14:paraId="2F5467BA" w14:textId="77777777" w:rsidR="00BC4B7D" w:rsidRPr="00CC2793" w:rsidRDefault="00BC4B7D">
      <w:pPr>
        <w:rPr>
          <w:rFonts w:ascii="Arial" w:hAnsi="Arial" w:cs="Arial"/>
          <w:lang w:val="en-GB"/>
        </w:rPr>
      </w:pPr>
    </w:p>
    <w:sectPr w:rsidR="00BC4B7D" w:rsidRPr="00CC2793">
      <w:type w:val="continuous"/>
      <w:pgSz w:w="11907" w:h="16840"/>
      <w:pgMar w:top="1134" w:right="1417" w:bottom="1134" w:left="1417"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8058" w14:textId="77777777" w:rsidR="00E82144" w:rsidRDefault="00E82144">
      <w:r>
        <w:separator/>
      </w:r>
    </w:p>
  </w:endnote>
  <w:endnote w:type="continuationSeparator" w:id="0">
    <w:p w14:paraId="0168046D" w14:textId="77777777" w:rsidR="00E82144" w:rsidRDefault="00E8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1EC2" w14:textId="77777777" w:rsidR="00212A20" w:rsidRDefault="00212A20">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042F" w14:textId="77777777" w:rsidR="00E82144" w:rsidRDefault="00E82144">
      <w:r>
        <w:separator/>
      </w:r>
    </w:p>
  </w:footnote>
  <w:footnote w:type="continuationSeparator" w:id="0">
    <w:p w14:paraId="7ABB7855" w14:textId="77777777" w:rsidR="00E82144" w:rsidRDefault="00E8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1" w:type="dxa"/>
      <w:tblInd w:w="4536" w:type="dxa"/>
      <w:tblLook w:val="01E0" w:firstRow="1" w:lastRow="1" w:firstColumn="1" w:lastColumn="1" w:noHBand="0" w:noVBand="0"/>
    </w:tblPr>
    <w:tblGrid>
      <w:gridCol w:w="5291"/>
    </w:tblGrid>
    <w:tr w:rsidR="00212A20" w:rsidRPr="00663DCE" w14:paraId="4897EA90" w14:textId="77777777">
      <w:tc>
        <w:tcPr>
          <w:tcW w:w="5291" w:type="dxa"/>
        </w:tcPr>
        <w:p w14:paraId="3361C38E" w14:textId="3F46B4B9" w:rsidR="00212A20" w:rsidRPr="00695845" w:rsidRDefault="00304E95" w:rsidP="00657684">
          <w:pPr>
            <w:pStyle w:val="Header"/>
            <w:jc w:val="right"/>
            <w:rPr>
              <w:rFonts w:ascii="Arial" w:hAnsi="Arial" w:cs="Arial"/>
              <w:b/>
              <w:i/>
              <w:sz w:val="32"/>
            </w:rPr>
          </w:pPr>
          <w:r w:rsidRPr="00695845">
            <w:rPr>
              <w:rFonts w:ascii="Arial" w:hAnsi="Arial" w:cs="Arial"/>
              <w:b/>
              <w:i/>
              <w:sz w:val="32"/>
            </w:rPr>
            <w:t>ETSI/</w:t>
          </w:r>
          <w:proofErr w:type="gramStart"/>
          <w:r w:rsidR="00212A20" w:rsidRPr="00695845">
            <w:rPr>
              <w:rFonts w:ascii="Arial" w:hAnsi="Arial" w:cs="Arial"/>
              <w:b/>
              <w:i/>
              <w:sz w:val="32"/>
            </w:rPr>
            <w:t>GA(</w:t>
          </w:r>
          <w:proofErr w:type="gramEnd"/>
          <w:r w:rsidR="00240D72" w:rsidRPr="00695845">
            <w:rPr>
              <w:rFonts w:ascii="Arial" w:hAnsi="Arial" w:cs="Arial"/>
              <w:b/>
              <w:i/>
              <w:sz w:val="32"/>
            </w:rPr>
            <w:t>2</w:t>
          </w:r>
          <w:r w:rsidR="008414C0" w:rsidRPr="00695845">
            <w:rPr>
              <w:rFonts w:ascii="Arial" w:hAnsi="Arial" w:cs="Arial"/>
              <w:b/>
              <w:i/>
              <w:sz w:val="32"/>
            </w:rPr>
            <w:t>2</w:t>
          </w:r>
          <w:r w:rsidR="00212A20" w:rsidRPr="00695845">
            <w:rPr>
              <w:rFonts w:ascii="Arial" w:hAnsi="Arial" w:cs="Arial"/>
              <w:b/>
              <w:i/>
              <w:sz w:val="32"/>
            </w:rPr>
            <w:t>)</w:t>
          </w:r>
          <w:r w:rsidR="00240D72" w:rsidRPr="00695845">
            <w:rPr>
              <w:rFonts w:ascii="Arial" w:hAnsi="Arial" w:cs="Arial"/>
              <w:b/>
              <w:i/>
              <w:sz w:val="32"/>
            </w:rPr>
            <w:t>7</w:t>
          </w:r>
          <w:r w:rsidR="008414C0" w:rsidRPr="00695845">
            <w:rPr>
              <w:rFonts w:ascii="Arial" w:hAnsi="Arial" w:cs="Arial"/>
              <w:b/>
              <w:i/>
              <w:sz w:val="32"/>
            </w:rPr>
            <w:t>9</w:t>
          </w:r>
          <w:r w:rsidR="002A20DB" w:rsidRPr="00695845">
            <w:rPr>
              <w:rFonts w:ascii="Arial" w:hAnsi="Arial" w:cs="Arial"/>
              <w:b/>
              <w:i/>
              <w:sz w:val="32"/>
            </w:rPr>
            <w:t>_</w:t>
          </w:r>
          <w:r w:rsidR="00752647">
            <w:rPr>
              <w:rFonts w:ascii="Arial" w:hAnsi="Arial" w:cs="Arial"/>
              <w:b/>
              <w:i/>
              <w:sz w:val="32"/>
              <w:szCs w:val="32"/>
            </w:rPr>
            <w:t>031</w:t>
          </w:r>
          <w:r w:rsidR="00763451">
            <w:rPr>
              <w:rFonts w:ascii="Arial" w:hAnsi="Arial" w:cs="Arial"/>
              <w:b/>
              <w:i/>
              <w:sz w:val="32"/>
              <w:szCs w:val="32"/>
            </w:rPr>
            <w:t>r1</w:t>
          </w:r>
        </w:p>
      </w:tc>
    </w:tr>
    <w:tr w:rsidR="00212A20" w14:paraId="50FF8DAF" w14:textId="77777777">
      <w:tc>
        <w:tcPr>
          <w:tcW w:w="5291" w:type="dxa"/>
        </w:tcPr>
        <w:p w14:paraId="070E7733" w14:textId="77777777" w:rsidR="00212A20" w:rsidRPr="00D32C6B" w:rsidRDefault="00212A20">
          <w:pPr>
            <w:pStyle w:val="Header"/>
            <w:jc w:val="right"/>
            <w:rPr>
              <w:rFonts w:ascii="Arial" w:hAnsi="Arial" w:cs="Arial"/>
              <w:sz w:val="20"/>
              <w:szCs w:val="20"/>
            </w:rPr>
          </w:pPr>
          <w:proofErr w:type="gramStart"/>
          <w:r w:rsidRPr="00D32C6B">
            <w:rPr>
              <w:rFonts w:ascii="Arial" w:hAnsi="Arial" w:cs="Arial"/>
              <w:sz w:val="20"/>
              <w:szCs w:val="20"/>
            </w:rPr>
            <w:t>page</w:t>
          </w:r>
          <w:proofErr w:type="gramEnd"/>
          <w:r w:rsidRPr="00D32C6B">
            <w:rPr>
              <w:rFonts w:ascii="Arial" w:hAnsi="Arial" w:cs="Arial"/>
              <w:sz w:val="20"/>
              <w:szCs w:val="20"/>
            </w:rPr>
            <w:t xml:space="preserve"> </w:t>
          </w:r>
          <w:r w:rsidRPr="00D32C6B">
            <w:rPr>
              <w:rFonts w:ascii="Arial" w:hAnsi="Arial" w:cs="Arial"/>
              <w:sz w:val="20"/>
              <w:szCs w:val="20"/>
            </w:rPr>
            <w:fldChar w:fldCharType="begin"/>
          </w:r>
          <w:r w:rsidRPr="00D32C6B">
            <w:rPr>
              <w:rFonts w:ascii="Arial" w:hAnsi="Arial" w:cs="Arial"/>
              <w:sz w:val="20"/>
              <w:szCs w:val="20"/>
            </w:rPr>
            <w:instrText xml:space="preserve"> PAGE   \* MERGEFORMAT </w:instrText>
          </w:r>
          <w:r w:rsidRPr="00D32C6B">
            <w:rPr>
              <w:rFonts w:ascii="Arial" w:hAnsi="Arial" w:cs="Arial"/>
              <w:sz w:val="20"/>
              <w:szCs w:val="20"/>
            </w:rPr>
            <w:fldChar w:fldCharType="separate"/>
          </w:r>
          <w:r w:rsidR="004917EA" w:rsidRPr="00D32C6B">
            <w:rPr>
              <w:rFonts w:ascii="Arial" w:hAnsi="Arial" w:cs="Arial"/>
              <w:noProof/>
              <w:sz w:val="20"/>
              <w:szCs w:val="20"/>
            </w:rPr>
            <w:t>2</w:t>
          </w:r>
          <w:r w:rsidRPr="00D32C6B">
            <w:rPr>
              <w:rFonts w:ascii="Arial" w:hAnsi="Arial" w:cs="Arial"/>
              <w:sz w:val="20"/>
              <w:szCs w:val="20"/>
            </w:rPr>
            <w:fldChar w:fldCharType="end"/>
          </w:r>
          <w:r w:rsidRPr="00D32C6B">
            <w:rPr>
              <w:rFonts w:ascii="Arial" w:hAnsi="Arial" w:cs="Arial"/>
              <w:sz w:val="20"/>
              <w:szCs w:val="20"/>
            </w:rPr>
            <w:t xml:space="preserve"> of </w:t>
          </w:r>
          <w:r w:rsidR="00315846" w:rsidRPr="00D32C6B">
            <w:rPr>
              <w:rFonts w:ascii="Arial" w:hAnsi="Arial" w:cs="Arial"/>
              <w:sz w:val="20"/>
              <w:szCs w:val="20"/>
            </w:rPr>
            <w:fldChar w:fldCharType="begin"/>
          </w:r>
          <w:r w:rsidR="00315846" w:rsidRPr="00D32C6B">
            <w:rPr>
              <w:rFonts w:ascii="Arial" w:hAnsi="Arial" w:cs="Arial"/>
              <w:sz w:val="20"/>
              <w:szCs w:val="20"/>
            </w:rPr>
            <w:instrText xml:space="preserve"> NUMPAGES   \* MERGEFORMAT </w:instrText>
          </w:r>
          <w:r w:rsidR="00315846" w:rsidRPr="00D32C6B">
            <w:rPr>
              <w:rFonts w:ascii="Arial" w:hAnsi="Arial" w:cs="Arial"/>
              <w:sz w:val="20"/>
              <w:szCs w:val="20"/>
            </w:rPr>
            <w:fldChar w:fldCharType="separate"/>
          </w:r>
          <w:r w:rsidR="004917EA" w:rsidRPr="00D32C6B">
            <w:rPr>
              <w:rFonts w:ascii="Arial" w:hAnsi="Arial" w:cs="Arial"/>
              <w:noProof/>
              <w:sz w:val="20"/>
              <w:szCs w:val="20"/>
            </w:rPr>
            <w:t>2</w:t>
          </w:r>
          <w:r w:rsidR="00315846" w:rsidRPr="00D32C6B">
            <w:rPr>
              <w:rFonts w:ascii="Arial" w:hAnsi="Arial" w:cs="Arial"/>
              <w:noProof/>
              <w:sz w:val="20"/>
              <w:szCs w:val="20"/>
            </w:rPr>
            <w:fldChar w:fldCharType="end"/>
          </w:r>
        </w:p>
      </w:tc>
    </w:tr>
  </w:tbl>
  <w:p w14:paraId="76EB4837" w14:textId="77777777" w:rsidR="00212A20" w:rsidRDefault="00212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2" w:type="dxa"/>
      <w:tblInd w:w="4536" w:type="dxa"/>
      <w:tblLook w:val="01E0" w:firstRow="1" w:lastRow="1" w:firstColumn="1" w:lastColumn="1" w:noHBand="0" w:noVBand="0"/>
    </w:tblPr>
    <w:tblGrid>
      <w:gridCol w:w="5292"/>
    </w:tblGrid>
    <w:tr w:rsidR="00C644F4" w:rsidRPr="00D023E2" w14:paraId="0C30DA39" w14:textId="77777777" w:rsidTr="00A41ACD">
      <w:tc>
        <w:tcPr>
          <w:tcW w:w="5292" w:type="dxa"/>
        </w:tcPr>
        <w:p w14:paraId="20257904" w14:textId="52A66A4D" w:rsidR="00C644F4" w:rsidRDefault="00C644F4" w:rsidP="00657684">
          <w:pPr>
            <w:pStyle w:val="HeaderBoldRight"/>
            <w:rPr>
              <w:rFonts w:ascii="Arial" w:hAnsi="Arial" w:cs="Arial"/>
            </w:rPr>
          </w:pPr>
          <w:r w:rsidRPr="00695845">
            <w:rPr>
              <w:rFonts w:ascii="Arial" w:hAnsi="Arial" w:cs="Arial"/>
            </w:rPr>
            <w:t>ETSI/</w:t>
          </w:r>
          <w:proofErr w:type="gramStart"/>
          <w:r w:rsidRPr="00695845">
            <w:rPr>
              <w:rFonts w:ascii="Arial" w:hAnsi="Arial" w:cs="Arial"/>
            </w:rPr>
            <w:t>GA(</w:t>
          </w:r>
          <w:proofErr w:type="gramEnd"/>
          <w:r w:rsidR="00305B62" w:rsidRPr="00695845">
            <w:rPr>
              <w:rFonts w:ascii="Arial" w:hAnsi="Arial" w:cs="Arial"/>
            </w:rPr>
            <w:t>2</w:t>
          </w:r>
          <w:r w:rsidR="000E0977" w:rsidRPr="00695845">
            <w:rPr>
              <w:rFonts w:ascii="Arial" w:hAnsi="Arial" w:cs="Arial"/>
            </w:rPr>
            <w:t>2</w:t>
          </w:r>
          <w:r w:rsidRPr="00695845">
            <w:rPr>
              <w:rFonts w:ascii="Arial" w:hAnsi="Arial" w:cs="Arial"/>
            </w:rPr>
            <w:t>)</w:t>
          </w:r>
          <w:r w:rsidR="00305B62" w:rsidRPr="00695845">
            <w:rPr>
              <w:rFonts w:ascii="Arial" w:hAnsi="Arial" w:cs="Arial"/>
            </w:rPr>
            <w:t>7</w:t>
          </w:r>
          <w:r w:rsidR="000E0977" w:rsidRPr="00695845">
            <w:rPr>
              <w:rFonts w:ascii="Arial" w:hAnsi="Arial" w:cs="Arial"/>
            </w:rPr>
            <w:t>9</w:t>
          </w:r>
          <w:r w:rsidRPr="00695845">
            <w:rPr>
              <w:rFonts w:ascii="Arial" w:hAnsi="Arial" w:cs="Arial"/>
            </w:rPr>
            <w:t>_</w:t>
          </w:r>
          <w:r w:rsidR="00752647">
            <w:rPr>
              <w:rFonts w:ascii="Arial" w:hAnsi="Arial" w:cs="Arial"/>
            </w:rPr>
            <w:t>031</w:t>
          </w:r>
          <w:r w:rsidR="00763451">
            <w:rPr>
              <w:rFonts w:ascii="Arial" w:hAnsi="Arial" w:cs="Arial"/>
            </w:rPr>
            <w:t>r1</w:t>
          </w:r>
        </w:p>
        <w:p w14:paraId="42AD44B0" w14:textId="5F59833F" w:rsidR="001D6A91" w:rsidRPr="00695845" w:rsidRDefault="00CF180F" w:rsidP="00CF180F">
          <w:pPr>
            <w:pStyle w:val="Header"/>
            <w:jc w:val="right"/>
            <w:rPr>
              <w:rFonts w:ascii="Arial" w:hAnsi="Arial" w:cs="Arial"/>
            </w:rPr>
          </w:pPr>
          <w:r>
            <w:rPr>
              <w:rFonts w:ascii="Arial" w:hAnsi="Arial" w:cs="Arial"/>
            </w:rPr>
            <w:t xml:space="preserve">Sebastiano </w:t>
          </w:r>
          <w:proofErr w:type="spellStart"/>
          <w:r w:rsidRPr="00CF180F">
            <w:rPr>
              <w:rFonts w:ascii="Arial" w:hAnsi="Arial" w:cs="Arial"/>
            </w:rPr>
            <w:t>Toffaletti</w:t>
          </w:r>
          <w:proofErr w:type="spellEnd"/>
        </w:p>
      </w:tc>
    </w:tr>
    <w:tr w:rsidR="00657684" w:rsidRPr="00334DC1" w14:paraId="4655EBDB" w14:textId="77777777" w:rsidTr="00A41ACD">
      <w:tc>
        <w:tcPr>
          <w:tcW w:w="5292" w:type="dxa"/>
        </w:tcPr>
        <w:p w14:paraId="3F1C9391" w14:textId="424F1E98" w:rsidR="00657684" w:rsidRPr="00695845" w:rsidRDefault="00657684" w:rsidP="00657684">
          <w:pPr>
            <w:pStyle w:val="Header"/>
            <w:jc w:val="right"/>
            <w:rPr>
              <w:rFonts w:ascii="Arial" w:hAnsi="Arial" w:cs="Arial"/>
              <w:b/>
              <w:i/>
              <w:sz w:val="32"/>
              <w:szCs w:val="32"/>
            </w:rPr>
          </w:pPr>
          <w:proofErr w:type="spellStart"/>
          <w:r w:rsidRPr="00695845">
            <w:rPr>
              <w:rFonts w:ascii="Arial" w:hAnsi="Arial" w:cs="Arial"/>
            </w:rPr>
            <w:t>Submission</w:t>
          </w:r>
          <w:proofErr w:type="spellEnd"/>
          <w:r w:rsidRPr="00695845">
            <w:rPr>
              <w:rFonts w:ascii="Arial" w:hAnsi="Arial" w:cs="Arial"/>
            </w:rPr>
            <w:t xml:space="preserve"> </w:t>
          </w:r>
          <w:r w:rsidR="00752647" w:rsidRPr="00695845">
            <w:rPr>
              <w:rFonts w:ascii="Arial" w:hAnsi="Arial" w:cs="Arial"/>
            </w:rPr>
            <w:t>date :</w:t>
          </w:r>
          <w:r w:rsidR="00752647">
            <w:rPr>
              <w:rFonts w:ascii="Arial" w:hAnsi="Arial" w:cs="Arial"/>
            </w:rPr>
            <w:t xml:space="preserve"> 2</w:t>
          </w:r>
          <w:r w:rsidR="00763451">
            <w:rPr>
              <w:rFonts w:ascii="Arial" w:hAnsi="Arial" w:cs="Arial"/>
            </w:rPr>
            <w:t>5</w:t>
          </w:r>
          <w:r w:rsidR="00752647">
            <w:rPr>
              <w:rFonts w:ascii="Arial" w:hAnsi="Arial" w:cs="Arial"/>
            </w:rPr>
            <w:t xml:space="preserve"> March 2022</w:t>
          </w:r>
        </w:p>
      </w:tc>
    </w:tr>
    <w:tr w:rsidR="00C644F4" w:rsidRPr="00892D17" w14:paraId="3E07085E" w14:textId="77777777" w:rsidTr="00A41ACD">
      <w:tc>
        <w:tcPr>
          <w:tcW w:w="5292" w:type="dxa"/>
        </w:tcPr>
        <w:p w14:paraId="694603A7" w14:textId="77777777" w:rsidR="00C644F4" w:rsidRPr="00695845" w:rsidRDefault="00C644F4" w:rsidP="00C644F4">
          <w:pPr>
            <w:pStyle w:val="HeaderRight"/>
            <w:rPr>
              <w:rFonts w:ascii="Arial" w:hAnsi="Arial" w:cs="Arial"/>
              <w:i/>
              <w:sz w:val="32"/>
              <w:szCs w:val="32"/>
            </w:rPr>
          </w:pPr>
          <w:proofErr w:type="gramStart"/>
          <w:r w:rsidRPr="00695845">
            <w:rPr>
              <w:rFonts w:ascii="Arial" w:hAnsi="Arial" w:cs="Arial"/>
            </w:rPr>
            <w:t>page</w:t>
          </w:r>
          <w:proofErr w:type="gramEnd"/>
          <w:r w:rsidRPr="00695845">
            <w:rPr>
              <w:rFonts w:ascii="Arial" w:hAnsi="Arial" w:cs="Arial"/>
            </w:rPr>
            <w:t xml:space="preserve"> </w:t>
          </w:r>
          <w:r w:rsidRPr="00695845">
            <w:rPr>
              <w:rFonts w:ascii="Arial" w:hAnsi="Arial" w:cs="Arial"/>
            </w:rPr>
            <w:fldChar w:fldCharType="begin"/>
          </w:r>
          <w:r w:rsidRPr="00695845">
            <w:rPr>
              <w:rFonts w:ascii="Arial" w:hAnsi="Arial" w:cs="Arial"/>
            </w:rPr>
            <w:instrText xml:space="preserve"> PAGE   \* MERGEFORMAT </w:instrText>
          </w:r>
          <w:r w:rsidRPr="00695845">
            <w:rPr>
              <w:rFonts w:ascii="Arial" w:hAnsi="Arial" w:cs="Arial"/>
            </w:rPr>
            <w:fldChar w:fldCharType="separate"/>
          </w:r>
          <w:r w:rsidR="004917EA" w:rsidRPr="00695845">
            <w:rPr>
              <w:rFonts w:ascii="Arial" w:hAnsi="Arial" w:cs="Arial"/>
              <w:noProof/>
            </w:rPr>
            <w:t>1</w:t>
          </w:r>
          <w:r w:rsidRPr="00695845">
            <w:rPr>
              <w:rFonts w:ascii="Arial" w:hAnsi="Arial" w:cs="Arial"/>
              <w:noProof/>
            </w:rPr>
            <w:fldChar w:fldCharType="end"/>
          </w:r>
          <w:r w:rsidRPr="00695845">
            <w:rPr>
              <w:rFonts w:ascii="Arial" w:hAnsi="Arial" w:cs="Arial"/>
            </w:rPr>
            <w:t xml:space="preserve"> of </w:t>
          </w:r>
          <w:r w:rsidR="00D16059" w:rsidRPr="00695845">
            <w:rPr>
              <w:rFonts w:ascii="Arial" w:hAnsi="Arial" w:cs="Arial"/>
            </w:rPr>
            <w:fldChar w:fldCharType="begin"/>
          </w:r>
          <w:r w:rsidR="00D16059" w:rsidRPr="00695845">
            <w:rPr>
              <w:rFonts w:ascii="Arial" w:hAnsi="Arial" w:cs="Arial"/>
            </w:rPr>
            <w:instrText xml:space="preserve"> NUMPAGES   \* MERGEFORMAT </w:instrText>
          </w:r>
          <w:r w:rsidR="00D16059" w:rsidRPr="00695845">
            <w:rPr>
              <w:rFonts w:ascii="Arial" w:hAnsi="Arial" w:cs="Arial"/>
            </w:rPr>
            <w:fldChar w:fldCharType="separate"/>
          </w:r>
          <w:r w:rsidR="004917EA" w:rsidRPr="00695845">
            <w:rPr>
              <w:rFonts w:ascii="Arial" w:hAnsi="Arial" w:cs="Arial"/>
              <w:noProof/>
            </w:rPr>
            <w:t>2</w:t>
          </w:r>
          <w:r w:rsidR="00D16059" w:rsidRPr="00695845">
            <w:rPr>
              <w:rFonts w:ascii="Arial" w:hAnsi="Arial" w:cs="Arial"/>
              <w:noProof/>
            </w:rPr>
            <w:fldChar w:fldCharType="end"/>
          </w:r>
        </w:p>
      </w:tc>
    </w:tr>
  </w:tbl>
  <w:p w14:paraId="2ED8CACD" w14:textId="1529AAE4" w:rsidR="00212A20" w:rsidRDefault="00962246">
    <w:pPr>
      <w:pStyle w:val="Header"/>
      <w:jc w:val="right"/>
    </w:pPr>
    <w:r>
      <w:rPr>
        <w:b/>
        <w:i/>
        <w:noProof/>
        <w:sz w:val="32"/>
        <w:szCs w:val="32"/>
      </w:rPr>
      <w:drawing>
        <wp:anchor distT="0" distB="0" distL="114300" distR="114300" simplePos="0" relativeHeight="251666432" behindDoc="0" locked="0" layoutInCell="0" allowOverlap="1" wp14:anchorId="3F61B6B2" wp14:editId="73EAE394">
          <wp:simplePos x="0" y="0"/>
          <wp:positionH relativeFrom="column">
            <wp:posOffset>-317500</wp:posOffset>
          </wp:positionH>
          <wp:positionV relativeFrom="paragraph">
            <wp:posOffset>-814070</wp:posOffset>
          </wp:positionV>
          <wp:extent cx="2600325"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E0B"/>
    <w:multiLevelType w:val="hybridMultilevel"/>
    <w:tmpl w:val="FE54722E"/>
    <w:lvl w:ilvl="0" w:tplc="F600146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0E30179"/>
    <w:multiLevelType w:val="multilevel"/>
    <w:tmpl w:val="7F5A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1732A8"/>
    <w:multiLevelType w:val="hybridMultilevel"/>
    <w:tmpl w:val="233E7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3225DD"/>
    <w:multiLevelType w:val="hybridMultilevel"/>
    <w:tmpl w:val="A6965B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BD33D66"/>
    <w:multiLevelType w:val="hybridMultilevel"/>
    <w:tmpl w:val="6EDE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92424"/>
    <w:multiLevelType w:val="hybridMultilevel"/>
    <w:tmpl w:val="5FA4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60B81"/>
    <w:multiLevelType w:val="multilevel"/>
    <w:tmpl w:val="1E3C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E2ECA"/>
    <w:multiLevelType w:val="multilevel"/>
    <w:tmpl w:val="7438001E"/>
    <w:lvl w:ilvl="0">
      <w:start w:val="1"/>
      <w:numFmt w:val="decimal"/>
      <w:lvlText w:val="%1."/>
      <w:lvlJc w:val="left"/>
      <w:pPr>
        <w:tabs>
          <w:tab w:val="num" w:pos="1777"/>
        </w:tabs>
        <w:ind w:left="1777" w:hanging="360"/>
      </w:pPr>
    </w:lvl>
    <w:lvl w:ilvl="1" w:tentative="1">
      <w:start w:val="1"/>
      <w:numFmt w:val="decimal"/>
      <w:lvlText w:val="%2."/>
      <w:lvlJc w:val="left"/>
      <w:pPr>
        <w:tabs>
          <w:tab w:val="num" w:pos="2497"/>
        </w:tabs>
        <w:ind w:left="2497" w:hanging="360"/>
      </w:pPr>
    </w:lvl>
    <w:lvl w:ilvl="2" w:tentative="1">
      <w:start w:val="1"/>
      <w:numFmt w:val="decimal"/>
      <w:lvlText w:val="%3."/>
      <w:lvlJc w:val="left"/>
      <w:pPr>
        <w:tabs>
          <w:tab w:val="num" w:pos="3217"/>
        </w:tabs>
        <w:ind w:left="3217" w:hanging="360"/>
      </w:pPr>
    </w:lvl>
    <w:lvl w:ilvl="3" w:tentative="1">
      <w:start w:val="1"/>
      <w:numFmt w:val="decimal"/>
      <w:lvlText w:val="%4."/>
      <w:lvlJc w:val="left"/>
      <w:pPr>
        <w:tabs>
          <w:tab w:val="num" w:pos="3937"/>
        </w:tabs>
        <w:ind w:left="3937" w:hanging="360"/>
      </w:pPr>
    </w:lvl>
    <w:lvl w:ilvl="4" w:tentative="1">
      <w:start w:val="1"/>
      <w:numFmt w:val="decimal"/>
      <w:lvlText w:val="%5."/>
      <w:lvlJc w:val="left"/>
      <w:pPr>
        <w:tabs>
          <w:tab w:val="num" w:pos="4657"/>
        </w:tabs>
        <w:ind w:left="4657" w:hanging="360"/>
      </w:pPr>
    </w:lvl>
    <w:lvl w:ilvl="5" w:tentative="1">
      <w:start w:val="1"/>
      <w:numFmt w:val="decimal"/>
      <w:lvlText w:val="%6."/>
      <w:lvlJc w:val="left"/>
      <w:pPr>
        <w:tabs>
          <w:tab w:val="num" w:pos="5377"/>
        </w:tabs>
        <w:ind w:left="5377" w:hanging="360"/>
      </w:pPr>
    </w:lvl>
    <w:lvl w:ilvl="6" w:tentative="1">
      <w:start w:val="1"/>
      <w:numFmt w:val="decimal"/>
      <w:lvlText w:val="%7."/>
      <w:lvlJc w:val="left"/>
      <w:pPr>
        <w:tabs>
          <w:tab w:val="num" w:pos="6097"/>
        </w:tabs>
        <w:ind w:left="6097" w:hanging="360"/>
      </w:pPr>
    </w:lvl>
    <w:lvl w:ilvl="7" w:tentative="1">
      <w:start w:val="1"/>
      <w:numFmt w:val="decimal"/>
      <w:lvlText w:val="%8."/>
      <w:lvlJc w:val="left"/>
      <w:pPr>
        <w:tabs>
          <w:tab w:val="num" w:pos="6817"/>
        </w:tabs>
        <w:ind w:left="6817" w:hanging="360"/>
      </w:pPr>
    </w:lvl>
    <w:lvl w:ilvl="8" w:tentative="1">
      <w:start w:val="1"/>
      <w:numFmt w:val="decimal"/>
      <w:lvlText w:val="%9."/>
      <w:lvlJc w:val="left"/>
      <w:pPr>
        <w:tabs>
          <w:tab w:val="num" w:pos="7537"/>
        </w:tabs>
        <w:ind w:left="7537" w:hanging="360"/>
      </w:pPr>
    </w:lvl>
  </w:abstractNum>
  <w:abstractNum w:abstractNumId="8" w15:restartNumberingAfterBreak="0">
    <w:nsid w:val="699677CE"/>
    <w:multiLevelType w:val="hybridMultilevel"/>
    <w:tmpl w:val="359AAC2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DA6155F"/>
    <w:multiLevelType w:val="hybridMultilevel"/>
    <w:tmpl w:val="77905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C6785E"/>
    <w:multiLevelType w:val="hybridMultilevel"/>
    <w:tmpl w:val="2124E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4"/>
  </w:num>
  <w:num w:numId="4">
    <w:abstractNumId w:val="2"/>
  </w:num>
  <w:num w:numId="5">
    <w:abstractNumId w:val="9"/>
  </w:num>
  <w:num w:numId="6">
    <w:abstractNumId w:val="7"/>
  </w:num>
  <w:num w:numId="7">
    <w:abstractNumId w:val="6"/>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MzNzEwMTA1NjJT0lEKTi0uzszPAykwrwUAysFGbCwAAAA="/>
  </w:docVars>
  <w:rsids>
    <w:rsidRoot w:val="00BD3D94"/>
    <w:rsid w:val="00006DD7"/>
    <w:rsid w:val="00012D1E"/>
    <w:rsid w:val="00014229"/>
    <w:rsid w:val="0002782A"/>
    <w:rsid w:val="0003300A"/>
    <w:rsid w:val="00036E84"/>
    <w:rsid w:val="00055EB6"/>
    <w:rsid w:val="00056F61"/>
    <w:rsid w:val="00060F0C"/>
    <w:rsid w:val="00062409"/>
    <w:rsid w:val="0006431D"/>
    <w:rsid w:val="00066B89"/>
    <w:rsid w:val="000738E2"/>
    <w:rsid w:val="00075E30"/>
    <w:rsid w:val="00091264"/>
    <w:rsid w:val="00093DBC"/>
    <w:rsid w:val="000960B3"/>
    <w:rsid w:val="000A2ED9"/>
    <w:rsid w:val="000B32EF"/>
    <w:rsid w:val="000B6BFD"/>
    <w:rsid w:val="000C7FCE"/>
    <w:rsid w:val="000D10D3"/>
    <w:rsid w:val="000D640C"/>
    <w:rsid w:val="000E0977"/>
    <w:rsid w:val="000E29D0"/>
    <w:rsid w:val="000E5323"/>
    <w:rsid w:val="00116B02"/>
    <w:rsid w:val="00122542"/>
    <w:rsid w:val="00140EC1"/>
    <w:rsid w:val="0015189E"/>
    <w:rsid w:val="00156485"/>
    <w:rsid w:val="001726A5"/>
    <w:rsid w:val="001820A0"/>
    <w:rsid w:val="00183623"/>
    <w:rsid w:val="00196E52"/>
    <w:rsid w:val="001A4971"/>
    <w:rsid w:val="001B6A8E"/>
    <w:rsid w:val="001C2723"/>
    <w:rsid w:val="001D024C"/>
    <w:rsid w:val="001D1CBA"/>
    <w:rsid w:val="001D6A91"/>
    <w:rsid w:val="001E3F0C"/>
    <w:rsid w:val="001F22F4"/>
    <w:rsid w:val="00200A3A"/>
    <w:rsid w:val="002033E0"/>
    <w:rsid w:val="00212A20"/>
    <w:rsid w:val="0023691B"/>
    <w:rsid w:val="0023778F"/>
    <w:rsid w:val="00237B79"/>
    <w:rsid w:val="00240D72"/>
    <w:rsid w:val="00243572"/>
    <w:rsid w:val="00252603"/>
    <w:rsid w:val="00271A17"/>
    <w:rsid w:val="002741E5"/>
    <w:rsid w:val="0027604F"/>
    <w:rsid w:val="00277A10"/>
    <w:rsid w:val="002800C5"/>
    <w:rsid w:val="00290285"/>
    <w:rsid w:val="002A20DB"/>
    <w:rsid w:val="002A7B03"/>
    <w:rsid w:val="002B3C9B"/>
    <w:rsid w:val="002B3DAE"/>
    <w:rsid w:val="002B5DB6"/>
    <w:rsid w:val="002D3985"/>
    <w:rsid w:val="002D730F"/>
    <w:rsid w:val="002E5E49"/>
    <w:rsid w:val="00301BA5"/>
    <w:rsid w:val="00304E95"/>
    <w:rsid w:val="00305380"/>
    <w:rsid w:val="00305B62"/>
    <w:rsid w:val="00310511"/>
    <w:rsid w:val="003140F1"/>
    <w:rsid w:val="00315846"/>
    <w:rsid w:val="00337B9A"/>
    <w:rsid w:val="003407A0"/>
    <w:rsid w:val="0034119E"/>
    <w:rsid w:val="003425C3"/>
    <w:rsid w:val="00345DFE"/>
    <w:rsid w:val="00351084"/>
    <w:rsid w:val="00355A45"/>
    <w:rsid w:val="00370C14"/>
    <w:rsid w:val="00380F82"/>
    <w:rsid w:val="003C2493"/>
    <w:rsid w:val="003D60B1"/>
    <w:rsid w:val="003D733D"/>
    <w:rsid w:val="003E30E3"/>
    <w:rsid w:val="003F47FB"/>
    <w:rsid w:val="00402775"/>
    <w:rsid w:val="00402F12"/>
    <w:rsid w:val="00404FD9"/>
    <w:rsid w:val="00423AA7"/>
    <w:rsid w:val="00437290"/>
    <w:rsid w:val="00441E6D"/>
    <w:rsid w:val="00443E26"/>
    <w:rsid w:val="0044732C"/>
    <w:rsid w:val="0045324E"/>
    <w:rsid w:val="00455FE4"/>
    <w:rsid w:val="004564D8"/>
    <w:rsid w:val="00456F3C"/>
    <w:rsid w:val="004827CE"/>
    <w:rsid w:val="00484B8C"/>
    <w:rsid w:val="004876C2"/>
    <w:rsid w:val="004917EA"/>
    <w:rsid w:val="004925C3"/>
    <w:rsid w:val="00492FC3"/>
    <w:rsid w:val="00494EB3"/>
    <w:rsid w:val="004A1B5B"/>
    <w:rsid w:val="004A6FD6"/>
    <w:rsid w:val="004C0CCD"/>
    <w:rsid w:val="004D5AF6"/>
    <w:rsid w:val="004E0D22"/>
    <w:rsid w:val="004E7FE5"/>
    <w:rsid w:val="004F17E4"/>
    <w:rsid w:val="004F4971"/>
    <w:rsid w:val="004F7A02"/>
    <w:rsid w:val="0053082B"/>
    <w:rsid w:val="005508EA"/>
    <w:rsid w:val="00552793"/>
    <w:rsid w:val="00561A26"/>
    <w:rsid w:val="00562757"/>
    <w:rsid w:val="00565B7E"/>
    <w:rsid w:val="00566190"/>
    <w:rsid w:val="00574E5C"/>
    <w:rsid w:val="0058033F"/>
    <w:rsid w:val="00582694"/>
    <w:rsid w:val="005B2E49"/>
    <w:rsid w:val="005B58B8"/>
    <w:rsid w:val="005D0710"/>
    <w:rsid w:val="005D19A1"/>
    <w:rsid w:val="005D25A6"/>
    <w:rsid w:val="005E07F7"/>
    <w:rsid w:val="005E3996"/>
    <w:rsid w:val="005F5290"/>
    <w:rsid w:val="00605207"/>
    <w:rsid w:val="0061343D"/>
    <w:rsid w:val="0062210D"/>
    <w:rsid w:val="00627493"/>
    <w:rsid w:val="00635FEF"/>
    <w:rsid w:val="00641AEF"/>
    <w:rsid w:val="006447A2"/>
    <w:rsid w:val="00657684"/>
    <w:rsid w:val="006605C2"/>
    <w:rsid w:val="00663DCE"/>
    <w:rsid w:val="0067041F"/>
    <w:rsid w:val="00674A24"/>
    <w:rsid w:val="0069021C"/>
    <w:rsid w:val="006904C7"/>
    <w:rsid w:val="0069277E"/>
    <w:rsid w:val="00695845"/>
    <w:rsid w:val="00695B4A"/>
    <w:rsid w:val="006961B0"/>
    <w:rsid w:val="00697DB7"/>
    <w:rsid w:val="006A08F5"/>
    <w:rsid w:val="006A1D22"/>
    <w:rsid w:val="006A5E12"/>
    <w:rsid w:val="006C0E7C"/>
    <w:rsid w:val="006C20BB"/>
    <w:rsid w:val="006D2555"/>
    <w:rsid w:val="006E4F77"/>
    <w:rsid w:val="006F7F3D"/>
    <w:rsid w:val="0072231A"/>
    <w:rsid w:val="00723D54"/>
    <w:rsid w:val="00724236"/>
    <w:rsid w:val="00726431"/>
    <w:rsid w:val="00734F80"/>
    <w:rsid w:val="00740E1E"/>
    <w:rsid w:val="00740E47"/>
    <w:rsid w:val="00752647"/>
    <w:rsid w:val="007555F7"/>
    <w:rsid w:val="007556D4"/>
    <w:rsid w:val="00763451"/>
    <w:rsid w:val="0077734A"/>
    <w:rsid w:val="00791FB9"/>
    <w:rsid w:val="00794530"/>
    <w:rsid w:val="007A152B"/>
    <w:rsid w:val="007B0A07"/>
    <w:rsid w:val="007B2258"/>
    <w:rsid w:val="007B4D1B"/>
    <w:rsid w:val="007B547D"/>
    <w:rsid w:val="007B74FC"/>
    <w:rsid w:val="007D0B4F"/>
    <w:rsid w:val="007D5739"/>
    <w:rsid w:val="00800730"/>
    <w:rsid w:val="00800DD9"/>
    <w:rsid w:val="00807097"/>
    <w:rsid w:val="00817498"/>
    <w:rsid w:val="0082480C"/>
    <w:rsid w:val="0082579A"/>
    <w:rsid w:val="008347BC"/>
    <w:rsid w:val="008414C0"/>
    <w:rsid w:val="00847CB7"/>
    <w:rsid w:val="00863494"/>
    <w:rsid w:val="008713EC"/>
    <w:rsid w:val="00872AE4"/>
    <w:rsid w:val="008810B9"/>
    <w:rsid w:val="0089032A"/>
    <w:rsid w:val="008A4A74"/>
    <w:rsid w:val="008C0717"/>
    <w:rsid w:val="008C7A47"/>
    <w:rsid w:val="008D5D64"/>
    <w:rsid w:val="008D7A99"/>
    <w:rsid w:val="008E0170"/>
    <w:rsid w:val="008F4505"/>
    <w:rsid w:val="00911BCE"/>
    <w:rsid w:val="00913526"/>
    <w:rsid w:val="009201CA"/>
    <w:rsid w:val="009265A8"/>
    <w:rsid w:val="0093001E"/>
    <w:rsid w:val="00935FA7"/>
    <w:rsid w:val="00936173"/>
    <w:rsid w:val="00951787"/>
    <w:rsid w:val="00962246"/>
    <w:rsid w:val="009661AA"/>
    <w:rsid w:val="00967BCC"/>
    <w:rsid w:val="009741B3"/>
    <w:rsid w:val="00977E1B"/>
    <w:rsid w:val="00984B0B"/>
    <w:rsid w:val="009858DB"/>
    <w:rsid w:val="00987FA6"/>
    <w:rsid w:val="00995575"/>
    <w:rsid w:val="009A1CFC"/>
    <w:rsid w:val="009A7810"/>
    <w:rsid w:val="009B13C3"/>
    <w:rsid w:val="009B2DBA"/>
    <w:rsid w:val="009D041C"/>
    <w:rsid w:val="009D61DF"/>
    <w:rsid w:val="009E0280"/>
    <w:rsid w:val="009E06C4"/>
    <w:rsid w:val="009E128F"/>
    <w:rsid w:val="009E1908"/>
    <w:rsid w:val="009E2042"/>
    <w:rsid w:val="009E654F"/>
    <w:rsid w:val="009F0D39"/>
    <w:rsid w:val="009F1033"/>
    <w:rsid w:val="00A05B12"/>
    <w:rsid w:val="00A1183D"/>
    <w:rsid w:val="00A118F5"/>
    <w:rsid w:val="00A224D5"/>
    <w:rsid w:val="00A230ED"/>
    <w:rsid w:val="00A243D1"/>
    <w:rsid w:val="00A41ACD"/>
    <w:rsid w:val="00A502F9"/>
    <w:rsid w:val="00A53EEE"/>
    <w:rsid w:val="00A57C22"/>
    <w:rsid w:val="00A679B0"/>
    <w:rsid w:val="00A67A0A"/>
    <w:rsid w:val="00A70F8D"/>
    <w:rsid w:val="00AA6738"/>
    <w:rsid w:val="00AB4367"/>
    <w:rsid w:val="00AB6F3C"/>
    <w:rsid w:val="00AC0234"/>
    <w:rsid w:val="00AC292F"/>
    <w:rsid w:val="00AE0951"/>
    <w:rsid w:val="00B00D22"/>
    <w:rsid w:val="00B01A8D"/>
    <w:rsid w:val="00B17077"/>
    <w:rsid w:val="00B227BE"/>
    <w:rsid w:val="00B31236"/>
    <w:rsid w:val="00B32445"/>
    <w:rsid w:val="00B50BD9"/>
    <w:rsid w:val="00B51999"/>
    <w:rsid w:val="00B53B30"/>
    <w:rsid w:val="00B62E17"/>
    <w:rsid w:val="00B640BD"/>
    <w:rsid w:val="00B65775"/>
    <w:rsid w:val="00B67D98"/>
    <w:rsid w:val="00B729B1"/>
    <w:rsid w:val="00B84F2E"/>
    <w:rsid w:val="00B86139"/>
    <w:rsid w:val="00BA1847"/>
    <w:rsid w:val="00BA5607"/>
    <w:rsid w:val="00BA7DDC"/>
    <w:rsid w:val="00BC194C"/>
    <w:rsid w:val="00BC3B9B"/>
    <w:rsid w:val="00BC4B7D"/>
    <w:rsid w:val="00BC53F3"/>
    <w:rsid w:val="00BD3D94"/>
    <w:rsid w:val="00BE5163"/>
    <w:rsid w:val="00BF3386"/>
    <w:rsid w:val="00BF662F"/>
    <w:rsid w:val="00C06932"/>
    <w:rsid w:val="00C12599"/>
    <w:rsid w:val="00C30536"/>
    <w:rsid w:val="00C54060"/>
    <w:rsid w:val="00C60821"/>
    <w:rsid w:val="00C615ED"/>
    <w:rsid w:val="00C644F4"/>
    <w:rsid w:val="00C65EF3"/>
    <w:rsid w:val="00C66BCC"/>
    <w:rsid w:val="00C755DF"/>
    <w:rsid w:val="00CA13E3"/>
    <w:rsid w:val="00CA1476"/>
    <w:rsid w:val="00CB755E"/>
    <w:rsid w:val="00CC036C"/>
    <w:rsid w:val="00CC2793"/>
    <w:rsid w:val="00CC3E46"/>
    <w:rsid w:val="00CC4A8A"/>
    <w:rsid w:val="00CC6C54"/>
    <w:rsid w:val="00CC70DF"/>
    <w:rsid w:val="00CD1630"/>
    <w:rsid w:val="00CD4D01"/>
    <w:rsid w:val="00CD73C5"/>
    <w:rsid w:val="00CF180F"/>
    <w:rsid w:val="00CF27A9"/>
    <w:rsid w:val="00CF2F96"/>
    <w:rsid w:val="00D01942"/>
    <w:rsid w:val="00D057F0"/>
    <w:rsid w:val="00D10A53"/>
    <w:rsid w:val="00D1302A"/>
    <w:rsid w:val="00D156B8"/>
    <w:rsid w:val="00D16059"/>
    <w:rsid w:val="00D216CE"/>
    <w:rsid w:val="00D23394"/>
    <w:rsid w:val="00D30D72"/>
    <w:rsid w:val="00D31652"/>
    <w:rsid w:val="00D32C6B"/>
    <w:rsid w:val="00D35A25"/>
    <w:rsid w:val="00D37CCD"/>
    <w:rsid w:val="00D41C39"/>
    <w:rsid w:val="00D72C41"/>
    <w:rsid w:val="00D73086"/>
    <w:rsid w:val="00D83DA4"/>
    <w:rsid w:val="00D9245D"/>
    <w:rsid w:val="00D9357B"/>
    <w:rsid w:val="00DA02ED"/>
    <w:rsid w:val="00DA5627"/>
    <w:rsid w:val="00DC209B"/>
    <w:rsid w:val="00DD18E2"/>
    <w:rsid w:val="00DD4B99"/>
    <w:rsid w:val="00DD5657"/>
    <w:rsid w:val="00DE0BEF"/>
    <w:rsid w:val="00DE3E0B"/>
    <w:rsid w:val="00DF5808"/>
    <w:rsid w:val="00E167D3"/>
    <w:rsid w:val="00E263AF"/>
    <w:rsid w:val="00E304F4"/>
    <w:rsid w:val="00E32715"/>
    <w:rsid w:val="00E34C81"/>
    <w:rsid w:val="00E408E9"/>
    <w:rsid w:val="00E54728"/>
    <w:rsid w:val="00E66C65"/>
    <w:rsid w:val="00E73100"/>
    <w:rsid w:val="00E7547B"/>
    <w:rsid w:val="00E82144"/>
    <w:rsid w:val="00E84178"/>
    <w:rsid w:val="00E938E9"/>
    <w:rsid w:val="00E96DDB"/>
    <w:rsid w:val="00EA6129"/>
    <w:rsid w:val="00EB0839"/>
    <w:rsid w:val="00EB5211"/>
    <w:rsid w:val="00EC5357"/>
    <w:rsid w:val="00ED4AD8"/>
    <w:rsid w:val="00EE0558"/>
    <w:rsid w:val="00EE1413"/>
    <w:rsid w:val="00EF2737"/>
    <w:rsid w:val="00EF555C"/>
    <w:rsid w:val="00EF7E2E"/>
    <w:rsid w:val="00F20C44"/>
    <w:rsid w:val="00F27D8A"/>
    <w:rsid w:val="00F3148F"/>
    <w:rsid w:val="00F4466A"/>
    <w:rsid w:val="00F531EF"/>
    <w:rsid w:val="00F54454"/>
    <w:rsid w:val="00F63D9E"/>
    <w:rsid w:val="00F677B1"/>
    <w:rsid w:val="00F77A75"/>
    <w:rsid w:val="00F84FA3"/>
    <w:rsid w:val="00F86251"/>
    <w:rsid w:val="00F9151D"/>
    <w:rsid w:val="00F919AD"/>
    <w:rsid w:val="00FA21CD"/>
    <w:rsid w:val="00FA2BDA"/>
    <w:rsid w:val="00FA542A"/>
    <w:rsid w:val="00FB50A4"/>
    <w:rsid w:val="00FC332F"/>
    <w:rsid w:val="00FD486F"/>
    <w:rsid w:val="00FE1802"/>
    <w:rsid w:val="00FE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A15B3"/>
  <w15:chartTrackingRefBased/>
  <w15:docId w15:val="{C125875F-2933-411F-926A-8EC6CDAE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139"/>
    <w:rPr>
      <w:sz w:val="24"/>
      <w:szCs w:val="24"/>
      <w:lang w:val="fr-FR" w:eastAsia="fr-FR"/>
    </w:rPr>
  </w:style>
  <w:style w:type="paragraph" w:styleId="Heading1">
    <w:name w:val="heading 1"/>
    <w:next w:val="Normal"/>
    <w:qFormat/>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Heading2">
    <w:name w:val="heading 2"/>
    <w:next w:val="Normal"/>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next w:val="Normal"/>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1"/>
    <w:next w:val="Normal"/>
    <w:qFormat/>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Hyperlink">
    <w:name w:val="Hyperlink"/>
    <w:rsid w:val="00F531EF"/>
    <w:rPr>
      <w:color w:val="0000FF"/>
      <w:u w:val="single"/>
    </w:rPr>
  </w:style>
  <w:style w:type="paragraph" w:customStyle="1" w:styleId="B1">
    <w:name w:val="B1"/>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HeaderBoldLeft">
    <w:name w:val="Header Bold Left"/>
    <w:basedOn w:val="Header"/>
    <w:rPr>
      <w:b/>
      <w:i/>
      <w:sz w:val="32"/>
    </w:rPr>
  </w:style>
  <w:style w:type="paragraph" w:customStyle="1" w:styleId="HeaderBoldRight">
    <w:name w:val="Header Bold Right"/>
    <w:basedOn w:val="Header"/>
    <w:pPr>
      <w:jc w:val="right"/>
    </w:pPr>
    <w:rPr>
      <w:b/>
      <w:i/>
      <w:sz w:val="32"/>
    </w:rPr>
  </w:style>
  <w:style w:type="paragraph" w:customStyle="1" w:styleId="HeaderRight">
    <w:name w:val="Header Right"/>
    <w:basedOn w:val="Header"/>
    <w:pPr>
      <w:jc w:val="right"/>
    </w:pPr>
  </w:style>
  <w:style w:type="paragraph" w:customStyle="1" w:styleId="HeaderMemo">
    <w:name w:val="Header Memo"/>
    <w:basedOn w:val="Header"/>
    <w:pPr>
      <w:jc w:val="right"/>
    </w:pPr>
    <w:rPr>
      <w:b/>
      <w:i/>
      <w:sz w:val="48"/>
    </w:rPr>
  </w:style>
  <w:style w:type="paragraph" w:customStyle="1" w:styleId="StdTitle1">
    <w:name w:val="Std_Title1"/>
    <w:basedOn w:val="Normal"/>
  </w:style>
  <w:style w:type="paragraph" w:customStyle="1" w:styleId="StdTitle2">
    <w:name w:val="Std_Title2"/>
    <w:basedOn w:val="Normal"/>
    <w:pPr>
      <w:spacing w:after="240" w:line="240" w:lineRule="atLeast"/>
    </w:pPr>
  </w:style>
  <w:style w:type="paragraph" w:customStyle="1" w:styleId="StdTitle3">
    <w:name w:val="Std_Title3"/>
    <w:basedOn w:val="Normal"/>
    <w:rPr>
      <w:i/>
    </w:rPr>
  </w:style>
  <w:style w:type="paragraph" w:customStyle="1" w:styleId="StdTitle4">
    <w:name w:val="Std_Title4"/>
    <w:basedOn w:val="Normal"/>
    <w:pPr>
      <w:pBdr>
        <w:top w:val="single" w:sz="4" w:space="1" w:color="auto"/>
        <w:left w:val="single" w:sz="4" w:space="4" w:color="auto"/>
        <w:bottom w:val="single" w:sz="4" w:space="1" w:color="auto"/>
        <w:right w:val="single" w:sz="4" w:space="4" w:color="auto"/>
      </w:pBdr>
      <w:jc w:val="center"/>
    </w:pPr>
    <w:rPr>
      <w:b/>
      <w:i/>
    </w:rPr>
  </w:style>
  <w:style w:type="paragraph" w:styleId="BodyText3">
    <w:name w:val="Body Text 3"/>
    <w:basedOn w:val="Normal"/>
    <w:rsid w:val="00F531EF"/>
    <w:rPr>
      <w:rFonts w:ascii="Times" w:hAnsi="Times"/>
    </w:rPr>
  </w:style>
  <w:style w:type="character" w:customStyle="1" w:styleId="HeaderChar">
    <w:name w:val="Header Char"/>
    <w:link w:val="Header"/>
    <w:rsid w:val="00657684"/>
    <w:rPr>
      <w:rFonts w:ascii="Arial" w:hAnsi="Arial"/>
      <w:lang w:eastAsia="en-US"/>
    </w:rPr>
  </w:style>
  <w:style w:type="paragraph" w:styleId="CommentSubject">
    <w:name w:val="annotation subject"/>
    <w:basedOn w:val="CommentText"/>
    <w:next w:val="CommentText"/>
    <w:link w:val="CommentSubjectChar"/>
    <w:rsid w:val="00CC4A8A"/>
    <w:rPr>
      <w:b/>
      <w:bCs/>
    </w:rPr>
  </w:style>
  <w:style w:type="character" w:customStyle="1" w:styleId="CommentTextChar">
    <w:name w:val="Comment Text Char"/>
    <w:basedOn w:val="DefaultParagraphFont"/>
    <w:link w:val="CommentText"/>
    <w:semiHidden/>
    <w:rsid w:val="00CC4A8A"/>
    <w:rPr>
      <w:rFonts w:ascii="Arial" w:hAnsi="Arial"/>
      <w:lang w:eastAsia="en-US"/>
    </w:rPr>
  </w:style>
  <w:style w:type="character" w:customStyle="1" w:styleId="CommentSubjectChar">
    <w:name w:val="Comment Subject Char"/>
    <w:basedOn w:val="CommentTextChar"/>
    <w:link w:val="CommentSubject"/>
    <w:rsid w:val="00CC4A8A"/>
    <w:rPr>
      <w:rFonts w:ascii="Arial" w:hAnsi="Arial"/>
      <w:b/>
      <w:bCs/>
      <w:lang w:eastAsia="en-US"/>
    </w:rPr>
  </w:style>
  <w:style w:type="paragraph" w:styleId="Revision">
    <w:name w:val="Revision"/>
    <w:hidden/>
    <w:uiPriority w:val="99"/>
    <w:semiHidden/>
    <w:rsid w:val="00CD1630"/>
    <w:rPr>
      <w:rFonts w:ascii="Arial" w:hAnsi="Arial"/>
      <w:lang w:eastAsia="en-US"/>
    </w:rPr>
  </w:style>
  <w:style w:type="character" w:styleId="UnresolvedMention">
    <w:name w:val="Unresolved Mention"/>
    <w:basedOn w:val="DefaultParagraphFont"/>
    <w:uiPriority w:val="99"/>
    <w:semiHidden/>
    <w:unhideWhenUsed/>
    <w:rsid w:val="00D057F0"/>
    <w:rPr>
      <w:color w:val="605E5C"/>
      <w:shd w:val="clear" w:color="auto" w:fill="E1DFDD"/>
    </w:rPr>
  </w:style>
  <w:style w:type="paragraph" w:customStyle="1" w:styleId="BULLET1INDENTATI">
    <w:name w:val="BULLET 1 / INDENTATI"/>
    <w:rsid w:val="00566190"/>
    <w:pPr>
      <w:tabs>
        <w:tab w:val="left" w:pos="567"/>
      </w:tabs>
      <w:spacing w:line="240" w:lineRule="exact"/>
      <w:ind w:left="567" w:hanging="567"/>
      <w:jc w:val="both"/>
    </w:pPr>
    <w:rPr>
      <w:rFonts w:ascii="Arial" w:hAnsi="Arial"/>
      <w:lang w:val="en-US" w:eastAsia="en-US"/>
    </w:rPr>
  </w:style>
  <w:style w:type="paragraph" w:styleId="BlockText">
    <w:name w:val="Block Text"/>
    <w:basedOn w:val="Normal"/>
    <w:rsid w:val="00566190"/>
    <w:pPr>
      <w:pBdr>
        <w:top w:val="single" w:sz="6" w:space="1" w:color="auto"/>
        <w:left w:val="single" w:sz="6" w:space="1" w:color="auto"/>
        <w:bottom w:val="single" w:sz="6" w:space="1" w:color="auto"/>
        <w:right w:val="single" w:sz="6" w:space="1" w:color="auto"/>
      </w:pBdr>
      <w:spacing w:before="360"/>
      <w:ind w:left="1134" w:right="1134"/>
      <w:jc w:val="center"/>
    </w:pPr>
    <w:rPr>
      <w:b/>
      <w:sz w:val="28"/>
      <w:lang w:val="en-US"/>
    </w:rPr>
  </w:style>
  <w:style w:type="paragraph" w:styleId="NormalWeb">
    <w:name w:val="Normal (Web)"/>
    <w:basedOn w:val="Normal"/>
    <w:uiPriority w:val="99"/>
    <w:rsid w:val="00566190"/>
    <w:pPr>
      <w:spacing w:before="100" w:beforeAutospacing="1" w:after="100" w:afterAutospacing="1"/>
    </w:pPr>
    <w:rPr>
      <w:color w:val="000000"/>
      <w:lang w:eastAsia="en-GB"/>
    </w:rPr>
  </w:style>
  <w:style w:type="character" w:styleId="FollowedHyperlink">
    <w:name w:val="FollowedHyperlink"/>
    <w:basedOn w:val="DefaultParagraphFont"/>
    <w:rsid w:val="00566190"/>
    <w:rPr>
      <w:color w:val="954F72" w:themeColor="followedHyperlink"/>
      <w:u w:val="single"/>
    </w:rPr>
  </w:style>
  <w:style w:type="paragraph" w:styleId="ListParagraph">
    <w:name w:val="List Paragraph"/>
    <w:basedOn w:val="Normal"/>
    <w:uiPriority w:val="34"/>
    <w:qFormat/>
    <w:rsid w:val="00A243D1"/>
    <w:pPr>
      <w:ind w:left="720"/>
      <w:contextualSpacing/>
    </w:pPr>
  </w:style>
  <w:style w:type="character" w:customStyle="1" w:styleId="apple-converted-space">
    <w:name w:val="apple-converted-space"/>
    <w:basedOn w:val="DefaultParagraphFont"/>
    <w:rsid w:val="0002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415">
      <w:bodyDiv w:val="1"/>
      <w:marLeft w:val="0"/>
      <w:marRight w:val="0"/>
      <w:marTop w:val="0"/>
      <w:marBottom w:val="0"/>
      <w:divBdr>
        <w:top w:val="none" w:sz="0" w:space="0" w:color="auto"/>
        <w:left w:val="none" w:sz="0" w:space="0" w:color="auto"/>
        <w:bottom w:val="none" w:sz="0" w:space="0" w:color="auto"/>
        <w:right w:val="none" w:sz="0" w:space="0" w:color="auto"/>
      </w:divBdr>
    </w:div>
    <w:div w:id="116921499">
      <w:bodyDiv w:val="1"/>
      <w:marLeft w:val="0"/>
      <w:marRight w:val="0"/>
      <w:marTop w:val="0"/>
      <w:marBottom w:val="0"/>
      <w:divBdr>
        <w:top w:val="none" w:sz="0" w:space="0" w:color="auto"/>
        <w:left w:val="none" w:sz="0" w:space="0" w:color="auto"/>
        <w:bottom w:val="none" w:sz="0" w:space="0" w:color="auto"/>
        <w:right w:val="none" w:sz="0" w:space="0" w:color="auto"/>
      </w:divBdr>
    </w:div>
    <w:div w:id="153881572">
      <w:bodyDiv w:val="1"/>
      <w:marLeft w:val="0"/>
      <w:marRight w:val="0"/>
      <w:marTop w:val="0"/>
      <w:marBottom w:val="0"/>
      <w:divBdr>
        <w:top w:val="none" w:sz="0" w:space="0" w:color="auto"/>
        <w:left w:val="none" w:sz="0" w:space="0" w:color="auto"/>
        <w:bottom w:val="none" w:sz="0" w:space="0" w:color="auto"/>
        <w:right w:val="none" w:sz="0" w:space="0" w:color="auto"/>
      </w:divBdr>
    </w:div>
    <w:div w:id="519052225">
      <w:bodyDiv w:val="1"/>
      <w:marLeft w:val="0"/>
      <w:marRight w:val="0"/>
      <w:marTop w:val="0"/>
      <w:marBottom w:val="0"/>
      <w:divBdr>
        <w:top w:val="none" w:sz="0" w:space="0" w:color="auto"/>
        <w:left w:val="none" w:sz="0" w:space="0" w:color="auto"/>
        <w:bottom w:val="none" w:sz="0" w:space="0" w:color="auto"/>
        <w:right w:val="none" w:sz="0" w:space="0" w:color="auto"/>
      </w:divBdr>
    </w:div>
    <w:div w:id="576090877">
      <w:bodyDiv w:val="1"/>
      <w:marLeft w:val="0"/>
      <w:marRight w:val="0"/>
      <w:marTop w:val="0"/>
      <w:marBottom w:val="0"/>
      <w:divBdr>
        <w:top w:val="none" w:sz="0" w:space="0" w:color="auto"/>
        <w:left w:val="none" w:sz="0" w:space="0" w:color="auto"/>
        <w:bottom w:val="none" w:sz="0" w:space="0" w:color="auto"/>
        <w:right w:val="none" w:sz="0" w:space="0" w:color="auto"/>
      </w:divBdr>
    </w:div>
    <w:div w:id="799306328">
      <w:bodyDiv w:val="1"/>
      <w:marLeft w:val="0"/>
      <w:marRight w:val="0"/>
      <w:marTop w:val="0"/>
      <w:marBottom w:val="0"/>
      <w:divBdr>
        <w:top w:val="none" w:sz="0" w:space="0" w:color="auto"/>
        <w:left w:val="none" w:sz="0" w:space="0" w:color="auto"/>
        <w:bottom w:val="none" w:sz="0" w:space="0" w:color="auto"/>
        <w:right w:val="none" w:sz="0" w:space="0" w:color="auto"/>
      </w:divBdr>
    </w:div>
    <w:div w:id="964971365">
      <w:bodyDiv w:val="1"/>
      <w:marLeft w:val="0"/>
      <w:marRight w:val="0"/>
      <w:marTop w:val="0"/>
      <w:marBottom w:val="0"/>
      <w:divBdr>
        <w:top w:val="none" w:sz="0" w:space="0" w:color="auto"/>
        <w:left w:val="none" w:sz="0" w:space="0" w:color="auto"/>
        <w:bottom w:val="none" w:sz="0" w:space="0" w:color="auto"/>
        <w:right w:val="none" w:sz="0" w:space="0" w:color="auto"/>
      </w:divBdr>
    </w:div>
    <w:div w:id="1141582997">
      <w:bodyDiv w:val="1"/>
      <w:marLeft w:val="0"/>
      <w:marRight w:val="0"/>
      <w:marTop w:val="0"/>
      <w:marBottom w:val="0"/>
      <w:divBdr>
        <w:top w:val="none" w:sz="0" w:space="0" w:color="auto"/>
        <w:left w:val="none" w:sz="0" w:space="0" w:color="auto"/>
        <w:bottom w:val="none" w:sz="0" w:space="0" w:color="auto"/>
        <w:right w:val="none" w:sz="0" w:space="0" w:color="auto"/>
      </w:divBdr>
    </w:div>
    <w:div w:id="1391806013">
      <w:bodyDiv w:val="1"/>
      <w:marLeft w:val="0"/>
      <w:marRight w:val="0"/>
      <w:marTop w:val="0"/>
      <w:marBottom w:val="0"/>
      <w:divBdr>
        <w:top w:val="none" w:sz="0" w:space="0" w:color="auto"/>
        <w:left w:val="none" w:sz="0" w:space="0" w:color="auto"/>
        <w:bottom w:val="none" w:sz="0" w:space="0" w:color="auto"/>
        <w:right w:val="none" w:sz="0" w:space="0" w:color="auto"/>
      </w:divBdr>
    </w:div>
    <w:div w:id="1459225853">
      <w:bodyDiv w:val="1"/>
      <w:marLeft w:val="0"/>
      <w:marRight w:val="0"/>
      <w:marTop w:val="0"/>
      <w:marBottom w:val="0"/>
      <w:divBdr>
        <w:top w:val="none" w:sz="0" w:space="0" w:color="auto"/>
        <w:left w:val="none" w:sz="0" w:space="0" w:color="auto"/>
        <w:bottom w:val="none" w:sz="0" w:space="0" w:color="auto"/>
        <w:right w:val="none" w:sz="0" w:space="0" w:color="auto"/>
      </w:divBdr>
      <w:divsChild>
        <w:div w:id="5795063">
          <w:marLeft w:val="0"/>
          <w:marRight w:val="0"/>
          <w:marTop w:val="0"/>
          <w:marBottom w:val="0"/>
          <w:divBdr>
            <w:top w:val="none" w:sz="0" w:space="0" w:color="auto"/>
            <w:left w:val="none" w:sz="0" w:space="0" w:color="auto"/>
            <w:bottom w:val="none" w:sz="0" w:space="0" w:color="auto"/>
            <w:right w:val="none" w:sz="0" w:space="0" w:color="auto"/>
          </w:divBdr>
          <w:divsChild>
            <w:div w:id="148788960">
              <w:marLeft w:val="0"/>
              <w:marRight w:val="0"/>
              <w:marTop w:val="0"/>
              <w:marBottom w:val="0"/>
              <w:divBdr>
                <w:top w:val="none" w:sz="0" w:space="0" w:color="auto"/>
                <w:left w:val="none" w:sz="0" w:space="0" w:color="auto"/>
                <w:bottom w:val="none" w:sz="0" w:space="0" w:color="auto"/>
                <w:right w:val="none" w:sz="0" w:space="0" w:color="auto"/>
              </w:divBdr>
              <w:divsChild>
                <w:div w:id="941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4496">
      <w:bodyDiv w:val="1"/>
      <w:marLeft w:val="0"/>
      <w:marRight w:val="0"/>
      <w:marTop w:val="0"/>
      <w:marBottom w:val="0"/>
      <w:divBdr>
        <w:top w:val="none" w:sz="0" w:space="0" w:color="auto"/>
        <w:left w:val="none" w:sz="0" w:space="0" w:color="auto"/>
        <w:bottom w:val="none" w:sz="0" w:space="0" w:color="auto"/>
        <w:right w:val="none" w:sz="0" w:space="0" w:color="auto"/>
      </w:divBdr>
    </w:div>
    <w:div w:id="1670601699">
      <w:bodyDiv w:val="1"/>
      <w:marLeft w:val="0"/>
      <w:marRight w:val="0"/>
      <w:marTop w:val="0"/>
      <w:marBottom w:val="0"/>
      <w:divBdr>
        <w:top w:val="none" w:sz="0" w:space="0" w:color="auto"/>
        <w:left w:val="none" w:sz="0" w:space="0" w:color="auto"/>
        <w:bottom w:val="none" w:sz="0" w:space="0" w:color="auto"/>
        <w:right w:val="none" w:sz="0" w:space="0" w:color="auto"/>
      </w:divBdr>
    </w:div>
    <w:div w:id="1747805772">
      <w:bodyDiv w:val="1"/>
      <w:marLeft w:val="0"/>
      <w:marRight w:val="0"/>
      <w:marTop w:val="0"/>
      <w:marBottom w:val="0"/>
      <w:divBdr>
        <w:top w:val="none" w:sz="0" w:space="0" w:color="auto"/>
        <w:left w:val="none" w:sz="0" w:space="0" w:color="auto"/>
        <w:bottom w:val="none" w:sz="0" w:space="0" w:color="auto"/>
        <w:right w:val="none" w:sz="0" w:space="0" w:color="auto"/>
      </w:divBdr>
    </w:div>
    <w:div w:id="17827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docsroom/documents/48601?locale=en" TargetMode="External"/><Relationship Id="rId2" Type="http://schemas.openxmlformats.org/officeDocument/2006/relationships/customXml" Target="../customXml/item2.xml"/><Relationship Id="rId16" Type="http://schemas.openxmlformats.org/officeDocument/2006/relationships/hyperlink" Target="https://ec.europa.eu/docsroom/documents/48600?local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docsroom/documents/48599?locale=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ocsroom/documents/48598?local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graphic%20bible\GB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E30457E578C4E8F583E3265ED5FF3" ma:contentTypeVersion="10" ma:contentTypeDescription="Create a new document." ma:contentTypeScope="" ma:versionID="b24a3a12ff7135e9d40de92982534c4a">
  <xsd:schema xmlns:xsd="http://www.w3.org/2001/XMLSchema" xmlns:xs="http://www.w3.org/2001/XMLSchema" xmlns:p="http://schemas.microsoft.com/office/2006/metadata/properties" xmlns:ns2="070f4c9d-078e-45eb-86e7-e9234e82c55c" xmlns:ns3="a9f02af7-d0a3-4ae6-a330-0c4bd8053d4d" targetNamespace="http://schemas.microsoft.com/office/2006/metadata/properties" ma:root="true" ma:fieldsID="f77ebf11c3296df462e8ccc844228c99" ns2:_="" ns3:_="">
    <xsd:import namespace="070f4c9d-078e-45eb-86e7-e9234e82c55c"/>
    <xsd:import namespace="a9f02af7-d0a3-4ae6-a330-0c4bd8053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4c9d-078e-45eb-86e7-e9234e82c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02af7-d0a3-4ae6-a330-0c4bd8053d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D2C6-AF88-4A20-9120-B3975EE00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D8B64-FDDD-4CCA-BCEF-59D8E5D34143}">
  <ds:schemaRefs>
    <ds:schemaRef ds:uri="http://schemas.microsoft.com/sharepoint/v3/contenttype/forms"/>
  </ds:schemaRefs>
</ds:datastoreItem>
</file>

<file path=customXml/itemProps3.xml><?xml version="1.0" encoding="utf-8"?>
<ds:datastoreItem xmlns:ds="http://schemas.openxmlformats.org/officeDocument/2006/customXml" ds:itemID="{8B40DAD0-EDB5-469D-8DFC-E6F8B535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4c9d-078e-45eb-86e7-e9234e82c55c"/>
    <ds:schemaRef ds:uri="a9f02af7-d0a3-4ae6-a330-0c4bd8053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59143-FDA6-7248-B377-7A729182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GB_Styles.dot</Template>
  <TotalTime>1</TotalTime>
  <Pages>5</Pages>
  <Words>1751</Words>
  <Characters>10362</Characters>
  <Application>Microsoft Office Word</Application>
  <DocSecurity>4</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ETSI/GA(22)79_031r1 - Deeping ETSI's inclusiveness</vt:lpstr>
      <vt:lpstr>ETSI/GA(22)79_005 - Establishment of a Memorandum of Understanding with the PKI Consortium, Inc. (PKI Consortium)</vt:lpstr>
    </vt:vector>
  </TitlesOfParts>
  <Company>ANEC, ECOS, ETUC, SBS</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ETSI/GA(22)79_031r1 - Deeping ETSI's inclusiveness</dc:title>
  <dc:subject/>
  <dc:creator>john raisingstandards.eu</dc:creator>
  <cp:keywords/>
  <cp:lastModifiedBy>Christine Mera</cp:lastModifiedBy>
  <cp:revision>2</cp:revision>
  <cp:lastPrinted>2021-09-27T09:29:00Z</cp:lastPrinted>
  <dcterms:created xsi:type="dcterms:W3CDTF">2022-03-29T09:19:00Z</dcterms:created>
  <dcterms:modified xsi:type="dcterms:W3CDTF">2022-03-29T09:19:00Z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0x0101001BDE30457E578C4E8F583E3265ED5FF3</vt:lpwstr>
  </property>
  <property fmtid="{D5CDD505-2E9C-101B-9397-08002B2CF9AE}" pid="3" name="_dlc_DocIdItemGuid">
    <vt:lpwstr>34650155-d14a-4d88-9050-93cf814967fc</vt:lpwstr>
  </property>
</Properties>
</file>